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81" w:rsidRPr="00D12662" w:rsidRDefault="00E1071F" w:rsidP="00403468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D1266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D1266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D1266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D1266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C41AB" w:rsidRPr="00D1266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2B7800" w:rsidRPr="00D12662">
        <w:rPr>
          <w:rFonts w:ascii="Times New Roman" w:eastAsia="Times New Roman" w:hAnsi="Times New Roman" w:cs="Times New Roman"/>
          <w:b/>
          <w:sz w:val="20"/>
          <w:szCs w:val="20"/>
        </w:rPr>
        <w:t>84</w:t>
      </w:r>
      <w:proofErr w:type="gramEnd"/>
    </w:p>
    <w:p w:rsidR="00D817A3" w:rsidRPr="00DA4C81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889" w:rsidRPr="00DA4C81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2B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4B" w:rsidRPr="00B00B90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10F8" w:rsidRPr="00B00B90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B00B90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60E" w:rsidRDefault="0034560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735E" w:rsidRDefault="0013735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1F11" w:rsidRDefault="00BC1F11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CC0" w:rsidRPr="00D12662" w:rsidRDefault="003C63C0" w:rsidP="0013735E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D12662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3557E6" w:rsidRPr="00D12662">
        <w:rPr>
          <w:rFonts w:ascii="Times New Roman" w:hAnsi="Times New Roman" w:cs="Times New Roman"/>
          <w:sz w:val="28"/>
          <w:szCs w:val="28"/>
        </w:rPr>
        <w:t>рішення вико</w:t>
      </w:r>
      <w:r w:rsidR="00064F46" w:rsidRPr="00D12662">
        <w:rPr>
          <w:rFonts w:ascii="Times New Roman" w:hAnsi="Times New Roman" w:cs="Times New Roman"/>
          <w:sz w:val="28"/>
          <w:szCs w:val="28"/>
        </w:rPr>
        <w:t>навчого комітету</w:t>
      </w:r>
      <w:r w:rsidR="0013735E">
        <w:rPr>
          <w:rFonts w:ascii="Times New Roman" w:hAnsi="Times New Roman" w:cs="Times New Roman"/>
          <w:sz w:val="28"/>
          <w:szCs w:val="28"/>
        </w:rPr>
        <w:t xml:space="preserve"> </w:t>
      </w:r>
      <w:r w:rsidR="00064F46" w:rsidRPr="00D12662">
        <w:rPr>
          <w:rFonts w:ascii="Times New Roman" w:hAnsi="Times New Roman" w:cs="Times New Roman"/>
          <w:sz w:val="28"/>
          <w:szCs w:val="28"/>
        </w:rPr>
        <w:t>Миколаївської</w:t>
      </w:r>
      <w:r w:rsidR="003557E6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Pr="00D12662">
        <w:rPr>
          <w:rFonts w:ascii="Times New Roman" w:hAnsi="Times New Roman" w:cs="Times New Roman"/>
          <w:sz w:val="28"/>
          <w:szCs w:val="28"/>
        </w:rPr>
        <w:t>міської ради</w:t>
      </w:r>
      <w:r w:rsidR="0013735E">
        <w:rPr>
          <w:rFonts w:ascii="Times New Roman" w:hAnsi="Times New Roman" w:cs="Times New Roman"/>
          <w:sz w:val="28"/>
          <w:szCs w:val="28"/>
        </w:rPr>
        <w:t xml:space="preserve"> </w:t>
      </w:r>
      <w:r w:rsidRPr="00D12662">
        <w:rPr>
          <w:rFonts w:ascii="Times New Roman" w:hAnsi="Times New Roman" w:cs="Times New Roman"/>
          <w:sz w:val="28"/>
          <w:szCs w:val="28"/>
        </w:rPr>
        <w:t xml:space="preserve">від </w:t>
      </w:r>
      <w:r w:rsidR="002B7800" w:rsidRPr="00D12662">
        <w:rPr>
          <w:rFonts w:ascii="Times New Roman" w:hAnsi="Times New Roman" w:cs="Times New Roman"/>
          <w:sz w:val="28"/>
          <w:szCs w:val="28"/>
        </w:rPr>
        <w:t>11.11.2020</w:t>
      </w:r>
      <w:r w:rsidR="003557E6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Pr="00D12662">
        <w:rPr>
          <w:rFonts w:ascii="Times New Roman" w:hAnsi="Times New Roman" w:cs="Times New Roman"/>
          <w:sz w:val="28"/>
          <w:szCs w:val="28"/>
        </w:rPr>
        <w:t xml:space="preserve"> №</w:t>
      </w:r>
      <w:r w:rsidR="002B7800" w:rsidRPr="00D12662">
        <w:rPr>
          <w:rFonts w:ascii="Times New Roman" w:hAnsi="Times New Roman" w:cs="Times New Roman"/>
          <w:sz w:val="28"/>
          <w:szCs w:val="28"/>
        </w:rPr>
        <w:t>1114</w:t>
      </w:r>
      <w:r w:rsidR="0013735E">
        <w:rPr>
          <w:rFonts w:ascii="Times New Roman" w:hAnsi="Times New Roman" w:cs="Times New Roman"/>
          <w:sz w:val="28"/>
          <w:szCs w:val="28"/>
        </w:rPr>
        <w:t xml:space="preserve"> «Про </w:t>
      </w:r>
      <w:r w:rsidR="00240CC0" w:rsidRPr="00D12662">
        <w:rPr>
          <w:rFonts w:ascii="Times New Roman" w:hAnsi="Times New Roman" w:cs="Times New Roman"/>
          <w:sz w:val="28"/>
          <w:szCs w:val="28"/>
        </w:rPr>
        <w:t>затвердження фінансових</w:t>
      </w:r>
      <w:r w:rsidR="0013735E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D12662">
        <w:rPr>
          <w:rFonts w:ascii="Times New Roman" w:hAnsi="Times New Roman" w:cs="Times New Roman"/>
          <w:sz w:val="28"/>
          <w:szCs w:val="28"/>
        </w:rPr>
        <w:t>планів комунальних підприємств</w:t>
      </w:r>
      <w:r w:rsidR="0013735E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D12662">
        <w:rPr>
          <w:rFonts w:ascii="Times New Roman" w:hAnsi="Times New Roman" w:cs="Times New Roman"/>
          <w:sz w:val="28"/>
          <w:szCs w:val="28"/>
        </w:rPr>
        <w:t>м. Миколаєва на 20</w:t>
      </w:r>
      <w:r w:rsidR="00B00B90" w:rsidRPr="00D12662">
        <w:rPr>
          <w:rFonts w:ascii="Times New Roman" w:hAnsi="Times New Roman" w:cs="Times New Roman"/>
          <w:sz w:val="28"/>
          <w:szCs w:val="28"/>
        </w:rPr>
        <w:t>2</w:t>
      </w:r>
      <w:r w:rsidR="002B7800" w:rsidRPr="00D12662">
        <w:rPr>
          <w:rFonts w:ascii="Times New Roman" w:hAnsi="Times New Roman" w:cs="Times New Roman"/>
          <w:sz w:val="28"/>
          <w:szCs w:val="28"/>
        </w:rPr>
        <w:t>1</w:t>
      </w:r>
      <w:r w:rsidR="00240CC0" w:rsidRPr="00D12662">
        <w:rPr>
          <w:rFonts w:ascii="Times New Roman" w:hAnsi="Times New Roman" w:cs="Times New Roman"/>
          <w:sz w:val="28"/>
          <w:szCs w:val="28"/>
        </w:rPr>
        <w:t xml:space="preserve"> рік»</w:t>
      </w:r>
    </w:p>
    <w:p w:rsidR="00C12ADB" w:rsidRPr="00D12662" w:rsidRDefault="00C12ADB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3C0" w:rsidRPr="00D12662" w:rsidRDefault="006446FB" w:rsidP="0045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62">
        <w:rPr>
          <w:rFonts w:ascii="Times New Roman" w:hAnsi="Times New Roman" w:cs="Times New Roman"/>
          <w:sz w:val="28"/>
          <w:szCs w:val="28"/>
        </w:rPr>
        <w:t xml:space="preserve">На виконання рішення </w:t>
      </w:r>
      <w:r w:rsidR="00B60FE8" w:rsidRPr="00D12662">
        <w:rPr>
          <w:rFonts w:ascii="Times New Roman" w:hAnsi="Times New Roman" w:cs="Times New Roman"/>
          <w:sz w:val="28"/>
          <w:szCs w:val="28"/>
        </w:rPr>
        <w:t xml:space="preserve">виконавчого комітету Миколаївської міської ради </w:t>
      </w:r>
      <w:r w:rsidRPr="00D12662">
        <w:rPr>
          <w:rFonts w:ascii="Times New Roman" w:hAnsi="Times New Roman" w:cs="Times New Roman"/>
          <w:sz w:val="28"/>
          <w:szCs w:val="28"/>
        </w:rPr>
        <w:t xml:space="preserve">від </w:t>
      </w:r>
      <w:r w:rsidR="003C63C0" w:rsidRPr="00D12662">
        <w:rPr>
          <w:rFonts w:ascii="Times New Roman" w:hAnsi="Times New Roman" w:cs="Times New Roman"/>
          <w:sz w:val="28"/>
          <w:szCs w:val="28"/>
        </w:rPr>
        <w:t>24.04.2009 №</w:t>
      </w:r>
      <w:r w:rsidR="00B7281B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D12662">
        <w:rPr>
          <w:rFonts w:ascii="Times New Roman" w:hAnsi="Times New Roman" w:cs="Times New Roman"/>
          <w:sz w:val="28"/>
          <w:szCs w:val="28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</w:t>
      </w:r>
      <w:r w:rsidR="004B5C1C" w:rsidRPr="00D12662">
        <w:rPr>
          <w:rFonts w:ascii="Times New Roman" w:hAnsi="Times New Roman" w:cs="Times New Roman"/>
          <w:sz w:val="28"/>
          <w:szCs w:val="28"/>
        </w:rPr>
        <w:t>еннями)</w:t>
      </w:r>
      <w:r w:rsidR="003C63C0" w:rsidRPr="00D12662">
        <w:rPr>
          <w:rFonts w:ascii="Times New Roman" w:hAnsi="Times New Roman" w:cs="Times New Roman"/>
          <w:sz w:val="28"/>
          <w:szCs w:val="28"/>
        </w:rPr>
        <w:t xml:space="preserve">, </w:t>
      </w:r>
      <w:r w:rsidRPr="00D12662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C63C0" w:rsidRPr="00D12662">
        <w:rPr>
          <w:rFonts w:ascii="Times New Roman" w:hAnsi="Times New Roman" w:cs="Times New Roman"/>
          <w:sz w:val="28"/>
          <w:szCs w:val="28"/>
        </w:rPr>
        <w:t xml:space="preserve">пп.4 </w:t>
      </w:r>
      <w:proofErr w:type="spellStart"/>
      <w:r w:rsidR="000C4A63" w:rsidRPr="00D12662">
        <w:rPr>
          <w:rFonts w:ascii="Times New Roman" w:hAnsi="Times New Roman" w:cs="Times New Roman"/>
          <w:sz w:val="28"/>
          <w:szCs w:val="28"/>
        </w:rPr>
        <w:t>п.</w:t>
      </w:r>
      <w:r w:rsidR="003C63C0" w:rsidRPr="00D12662">
        <w:rPr>
          <w:rFonts w:ascii="Times New Roman" w:hAnsi="Times New Roman" w:cs="Times New Roman"/>
          <w:sz w:val="28"/>
          <w:szCs w:val="28"/>
        </w:rPr>
        <w:t>«а</w:t>
      </w:r>
      <w:proofErr w:type="spellEnd"/>
      <w:r w:rsidR="003C63C0" w:rsidRPr="00D12662">
        <w:rPr>
          <w:rFonts w:ascii="Times New Roman" w:hAnsi="Times New Roman" w:cs="Times New Roman"/>
          <w:sz w:val="28"/>
          <w:szCs w:val="28"/>
        </w:rPr>
        <w:t>» ст.27 Закону України «Про місцеве самоврядування в Україні», виконком міської ради</w:t>
      </w:r>
    </w:p>
    <w:p w:rsidR="003C63C0" w:rsidRPr="00D12662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3C0" w:rsidRPr="00D12662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62">
        <w:rPr>
          <w:rFonts w:ascii="Times New Roman" w:hAnsi="Times New Roman" w:cs="Times New Roman"/>
          <w:sz w:val="28"/>
          <w:szCs w:val="28"/>
        </w:rPr>
        <w:t>ВИРІШИВ:</w:t>
      </w:r>
    </w:p>
    <w:p w:rsidR="009C1C8B" w:rsidRPr="00D12662" w:rsidRDefault="009C1C8B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1481" w:rsidRPr="00D12662" w:rsidRDefault="009C1C8B" w:rsidP="00451A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62">
        <w:rPr>
          <w:rFonts w:ascii="Times New Roman" w:hAnsi="Times New Roman" w:cs="Times New Roman"/>
          <w:sz w:val="28"/>
          <w:szCs w:val="28"/>
        </w:rPr>
        <w:t xml:space="preserve">1. </w:t>
      </w:r>
      <w:r w:rsidR="003C63C0" w:rsidRPr="00D12662">
        <w:rPr>
          <w:rFonts w:ascii="Times New Roman" w:hAnsi="Times New Roman" w:cs="Times New Roman"/>
          <w:sz w:val="28"/>
          <w:szCs w:val="28"/>
        </w:rPr>
        <w:t>Внести зміни до рішення викон</w:t>
      </w:r>
      <w:r w:rsidR="008764F2" w:rsidRPr="00D12662">
        <w:rPr>
          <w:rFonts w:ascii="Times New Roman" w:hAnsi="Times New Roman" w:cs="Times New Roman"/>
          <w:sz w:val="28"/>
          <w:szCs w:val="28"/>
        </w:rPr>
        <w:t>авчого комітету Миколаївської</w:t>
      </w:r>
      <w:r w:rsidR="003C63C0" w:rsidRPr="00D12662">
        <w:rPr>
          <w:rFonts w:ascii="Times New Roman" w:hAnsi="Times New Roman" w:cs="Times New Roman"/>
          <w:sz w:val="28"/>
          <w:szCs w:val="28"/>
        </w:rPr>
        <w:t xml:space="preserve"> місь</w:t>
      </w:r>
      <w:r w:rsidR="000C4A63" w:rsidRPr="00D12662">
        <w:rPr>
          <w:rFonts w:ascii="Times New Roman" w:hAnsi="Times New Roman" w:cs="Times New Roman"/>
          <w:sz w:val="28"/>
          <w:szCs w:val="28"/>
        </w:rPr>
        <w:t xml:space="preserve">кої ради від </w:t>
      </w:r>
      <w:r w:rsidR="002B7800" w:rsidRPr="00D12662">
        <w:rPr>
          <w:rFonts w:ascii="Times New Roman" w:hAnsi="Times New Roman" w:cs="Times New Roman"/>
          <w:sz w:val="28"/>
          <w:szCs w:val="28"/>
        </w:rPr>
        <w:t>11.11.2020</w:t>
      </w:r>
      <w:r w:rsidR="008764F2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D12662">
        <w:rPr>
          <w:rFonts w:ascii="Times New Roman" w:hAnsi="Times New Roman" w:cs="Times New Roman"/>
          <w:sz w:val="28"/>
          <w:szCs w:val="28"/>
        </w:rPr>
        <w:t>№</w:t>
      </w:r>
      <w:r w:rsidR="002B7800" w:rsidRPr="00D12662">
        <w:rPr>
          <w:rFonts w:ascii="Times New Roman" w:hAnsi="Times New Roman" w:cs="Times New Roman"/>
          <w:sz w:val="28"/>
          <w:szCs w:val="28"/>
        </w:rPr>
        <w:t>1114</w:t>
      </w:r>
      <w:r w:rsidR="003C63C0" w:rsidRPr="00D12662">
        <w:rPr>
          <w:rFonts w:ascii="Times New Roman" w:hAnsi="Times New Roman" w:cs="Times New Roman"/>
          <w:sz w:val="28"/>
          <w:szCs w:val="28"/>
        </w:rPr>
        <w:t xml:space="preserve"> «Про</w:t>
      </w:r>
      <w:r w:rsidR="0068186E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D12662">
        <w:rPr>
          <w:rFonts w:ascii="Times New Roman" w:hAnsi="Times New Roman" w:cs="Times New Roman"/>
          <w:sz w:val="28"/>
          <w:szCs w:val="28"/>
        </w:rPr>
        <w:t>затвердження фінансових планів комунальних підприємств</w:t>
      </w:r>
      <w:r w:rsidR="008764F2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D12662">
        <w:rPr>
          <w:rFonts w:ascii="Times New Roman" w:hAnsi="Times New Roman" w:cs="Times New Roman"/>
          <w:sz w:val="28"/>
          <w:szCs w:val="28"/>
        </w:rPr>
        <w:t>м.</w:t>
      </w:r>
      <w:r w:rsidR="0068186E" w:rsidRPr="00D12662">
        <w:rPr>
          <w:rFonts w:ascii="Times New Roman" w:hAnsi="Times New Roman" w:cs="Times New Roman"/>
          <w:sz w:val="28"/>
          <w:szCs w:val="28"/>
        </w:rPr>
        <w:t xml:space="preserve"> </w:t>
      </w:r>
      <w:r w:rsidR="003557E6" w:rsidRPr="00D12662">
        <w:rPr>
          <w:rFonts w:ascii="Times New Roman" w:hAnsi="Times New Roman" w:cs="Times New Roman"/>
          <w:sz w:val="28"/>
          <w:szCs w:val="28"/>
        </w:rPr>
        <w:t>Миколаєва на 20</w:t>
      </w:r>
      <w:r w:rsidR="002B7800" w:rsidRPr="00D12662">
        <w:rPr>
          <w:rFonts w:ascii="Times New Roman" w:hAnsi="Times New Roman" w:cs="Times New Roman"/>
          <w:sz w:val="28"/>
          <w:szCs w:val="28"/>
        </w:rPr>
        <w:t>21</w:t>
      </w:r>
      <w:r w:rsidR="00922CA1" w:rsidRPr="00D12662">
        <w:rPr>
          <w:rFonts w:ascii="Times New Roman" w:hAnsi="Times New Roman" w:cs="Times New Roman"/>
          <w:sz w:val="28"/>
          <w:szCs w:val="28"/>
        </w:rPr>
        <w:t xml:space="preserve"> рік»</w:t>
      </w:r>
      <w:r w:rsidR="00B60FE8" w:rsidRPr="00D12662">
        <w:rPr>
          <w:rFonts w:ascii="Times New Roman" w:hAnsi="Times New Roman" w:cs="Times New Roman"/>
          <w:sz w:val="28"/>
          <w:szCs w:val="28"/>
        </w:rPr>
        <w:t>, виклавши</w:t>
      </w:r>
      <w:r w:rsidR="00B00B90" w:rsidRPr="00D12662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="007E1481" w:rsidRPr="00D12662">
        <w:rPr>
          <w:rFonts w:ascii="Times New Roman" w:hAnsi="Times New Roman" w:cs="Times New Roman"/>
          <w:sz w:val="28"/>
          <w:szCs w:val="28"/>
        </w:rPr>
        <w:t xml:space="preserve"> фінансовий план КНП ММР «Центр перви</w:t>
      </w:r>
      <w:r w:rsidR="00AD5615" w:rsidRPr="00D12662">
        <w:rPr>
          <w:rFonts w:ascii="Times New Roman" w:hAnsi="Times New Roman" w:cs="Times New Roman"/>
          <w:sz w:val="28"/>
          <w:szCs w:val="28"/>
        </w:rPr>
        <w:t xml:space="preserve">нної медико-санітарної допомоги </w:t>
      </w:r>
      <w:r w:rsidR="002B7800" w:rsidRPr="00D12662">
        <w:rPr>
          <w:rFonts w:ascii="Times New Roman" w:hAnsi="Times New Roman" w:cs="Times New Roman"/>
          <w:sz w:val="28"/>
          <w:szCs w:val="28"/>
        </w:rPr>
        <w:t>№6</w:t>
      </w:r>
      <w:r w:rsidR="007E1481" w:rsidRPr="00D12662">
        <w:rPr>
          <w:rFonts w:ascii="Times New Roman" w:hAnsi="Times New Roman" w:cs="Times New Roman"/>
          <w:sz w:val="28"/>
          <w:szCs w:val="28"/>
        </w:rPr>
        <w:t>».</w:t>
      </w:r>
    </w:p>
    <w:p w:rsidR="0047629F" w:rsidRPr="00D12662" w:rsidRDefault="0047629F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A0C" w:rsidRPr="009B7A0C" w:rsidRDefault="00922CA1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62">
        <w:rPr>
          <w:rFonts w:ascii="Times New Roman" w:hAnsi="Times New Roman" w:cs="Times New Roman"/>
          <w:sz w:val="28"/>
          <w:szCs w:val="28"/>
        </w:rPr>
        <w:t>2</w:t>
      </w:r>
      <w:r w:rsidR="0047629F" w:rsidRPr="00D12662">
        <w:rPr>
          <w:rFonts w:ascii="Times New Roman" w:hAnsi="Times New Roman" w:cs="Times New Roman"/>
          <w:sz w:val="28"/>
          <w:szCs w:val="28"/>
        </w:rPr>
        <w:t xml:space="preserve">. </w:t>
      </w:r>
      <w:r w:rsidR="009B7A0C" w:rsidRPr="009B7A0C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13735E">
        <w:rPr>
          <w:rFonts w:ascii="Times New Roman" w:hAnsi="Times New Roman" w:cs="Times New Roman"/>
          <w:sz w:val="28"/>
          <w:szCs w:val="28"/>
        </w:rPr>
        <w:t xml:space="preserve">на </w:t>
      </w:r>
      <w:r w:rsidR="009B7A0C">
        <w:rPr>
          <w:rFonts w:ascii="Times New Roman" w:hAnsi="Times New Roman" w:cs="Times New Roman"/>
          <w:sz w:val="28"/>
          <w:szCs w:val="28"/>
        </w:rPr>
        <w:t>заступника міського голови Петрова А.Л.</w:t>
      </w:r>
      <w:r w:rsidR="009B7A0C" w:rsidRPr="009B7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0C" w:rsidRPr="009B7A0C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A0C" w:rsidRPr="009B7A0C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17A3" w:rsidRDefault="009B7A0C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0C">
        <w:rPr>
          <w:rFonts w:ascii="Times New Roman" w:hAnsi="Times New Roman" w:cs="Times New Roman"/>
          <w:sz w:val="28"/>
          <w:szCs w:val="28"/>
        </w:rPr>
        <w:t>Міський голова</w:t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Pr="009B7A0C">
        <w:rPr>
          <w:rFonts w:ascii="Times New Roman" w:hAnsi="Times New Roman" w:cs="Times New Roman"/>
          <w:sz w:val="28"/>
          <w:szCs w:val="28"/>
        </w:rPr>
        <w:tab/>
      </w:r>
      <w:r w:rsidR="0013735E">
        <w:rPr>
          <w:rFonts w:ascii="Times New Roman" w:hAnsi="Times New Roman" w:cs="Times New Roman"/>
          <w:sz w:val="28"/>
          <w:szCs w:val="28"/>
        </w:rPr>
        <w:t xml:space="preserve">    </w:t>
      </w:r>
      <w:r w:rsidRPr="009B7A0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73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7A0C">
        <w:rPr>
          <w:rFonts w:ascii="Times New Roman" w:hAnsi="Times New Roman" w:cs="Times New Roman"/>
          <w:sz w:val="28"/>
          <w:szCs w:val="28"/>
        </w:rPr>
        <w:t xml:space="preserve">   О. СЄНКЕВИЧ</w:t>
      </w: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Pr="00252166" w:rsidRDefault="00252166" w:rsidP="0025216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52166">
        <w:rPr>
          <w:rFonts w:ascii="Times New Roman" w:eastAsia="Times New Roman" w:hAnsi="Times New Roman" w:cs="Times New Roman"/>
          <w:lang w:val="en-US"/>
        </w:rPr>
        <w:lastRenderedPageBreak/>
        <w:t>i</w:t>
      </w:r>
      <w:r w:rsidRPr="00252166">
        <w:rPr>
          <w:rFonts w:ascii="Times New Roman" w:eastAsia="Times New Roman" w:hAnsi="Times New Roman" w:cs="Times New Roman"/>
        </w:rPr>
        <w:t>-</w:t>
      </w:r>
      <w:proofErr w:type="spellStart"/>
      <w:r w:rsidRPr="00252166">
        <w:rPr>
          <w:rFonts w:ascii="Times New Roman" w:eastAsia="Times New Roman" w:hAnsi="Times New Roman" w:cs="Times New Roman"/>
          <w:lang w:val="en-US"/>
        </w:rPr>
        <w:t>pg</w:t>
      </w:r>
      <w:proofErr w:type="spellEnd"/>
      <w:r w:rsidRPr="00252166">
        <w:rPr>
          <w:rFonts w:ascii="Times New Roman" w:eastAsia="Times New Roman" w:hAnsi="Times New Roman" w:cs="Times New Roman"/>
        </w:rPr>
        <w:t>-184</w:t>
      </w:r>
      <w:proofErr w:type="gramEnd"/>
    </w:p>
    <w:p w:rsidR="00252166" w:rsidRPr="00252166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166" w:rsidRPr="00252166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166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252166" w:rsidRPr="00252166" w:rsidRDefault="00252166" w:rsidP="0025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рішення виконавчого комітету Миколаївської міської ради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Миколаєва на 2021 рік»</w:t>
      </w:r>
    </w:p>
    <w:p w:rsidR="00252166" w:rsidRPr="00252166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252166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Суб’єкт подання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рішення виконкому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Миколаєва на 2021 рік» (далі -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рішення) - департамент економічного розвитку Миколаївської міської ради в особі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Тетяни Василівни -  директора департаменту економічного розвитку Миколаївської міської ради,  тел. 37-34-46.</w:t>
      </w:r>
    </w:p>
    <w:p w:rsidR="00252166" w:rsidRPr="00252166" w:rsidRDefault="00252166" w:rsidP="002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Розробник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252166" w:rsidRPr="00252166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рішення розроблено відповідно до рішення виконкому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пп.4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п.«а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>» ст.27 Закону України «Про місцеве самоврядування в Україні».</w:t>
      </w:r>
    </w:p>
    <w:p w:rsidR="00252166" w:rsidRPr="00252166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пояснювальної записки до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фінансового плану на 2021 рік (зі змінами) КНП ММР «Центр первинної медико-санітарної допомоги №6» та аналітичного висновку до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 xml:space="preserve"> фінансового плану на 2021 рік (зі змінами) управління охорони здоров’я Миколаївської міської ради зміни вносяться до фінансового плану КНП ММР «Центр первинної медико-санітарної допомоги №6» на 2021 рік у розділ «ІІІ. Інвестиційна діяльність - Капітальні витрати» (рядок 3020) у т.ч.: - придбання (виготовлення) основних засобів (рядок 3022) на суму 260,0 </w:t>
      </w:r>
      <w:proofErr w:type="spellStart"/>
      <w:r w:rsidRPr="00252166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252166">
        <w:rPr>
          <w:rFonts w:ascii="Times New Roman" w:eastAsia="Times New Roman" w:hAnsi="Times New Roman" w:cs="Times New Roman"/>
          <w:sz w:val="28"/>
          <w:szCs w:val="28"/>
        </w:rPr>
        <w:t>. Ці кошти передбачені на придбання легкового автомобіля для потреб мобільної паліативної бригади за рахунок коштів, отриманих від надання платних медичних послуг та відповідно до Додатку 24: Пакет медичних послуг: «Мобільна паліативна медична допомога дорослим та дітям» до Договору між Національною службою здоров’я України та КНП ММР «ЦПМСД № 6».</w:t>
      </w:r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166"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</w:t>
      </w:r>
      <w:proofErr w:type="spellStart"/>
      <w:r w:rsidRPr="00252166">
        <w:rPr>
          <w:rFonts w:ascii="Times New Roman" w:eastAsia="Times New Roman" w:hAnsi="Times New Roman" w:cs="Times New Roman"/>
          <w:sz w:val="26"/>
          <w:szCs w:val="26"/>
        </w:rPr>
        <w:t>економічного</w:t>
      </w:r>
      <w:proofErr w:type="spellEnd"/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2166">
        <w:rPr>
          <w:rFonts w:ascii="Times New Roman" w:eastAsia="Times New Roman" w:hAnsi="Times New Roman" w:cs="Times New Roman"/>
          <w:sz w:val="26"/>
          <w:szCs w:val="26"/>
        </w:rPr>
        <w:t>розвитку</w:t>
      </w:r>
      <w:proofErr w:type="spellEnd"/>
      <w:r w:rsidRPr="00252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2166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252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2166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252166">
        <w:rPr>
          <w:rFonts w:ascii="Times New Roman" w:eastAsia="Times New Roman" w:hAnsi="Times New Roman" w:cs="Times New Roman"/>
          <w:sz w:val="26"/>
          <w:szCs w:val="26"/>
        </w:rPr>
        <w:t xml:space="preserve"> ради</w:t>
      </w:r>
      <w:r w:rsidRPr="00252166">
        <w:rPr>
          <w:rFonts w:ascii="Times New Roman" w:eastAsia="Times New Roman" w:hAnsi="Times New Roman" w:cs="Times New Roman"/>
          <w:sz w:val="26"/>
          <w:szCs w:val="26"/>
        </w:rPr>
        <w:tab/>
      </w:r>
      <w:r w:rsidRPr="00252166">
        <w:rPr>
          <w:rFonts w:ascii="Times New Roman" w:eastAsia="Times New Roman" w:hAnsi="Times New Roman" w:cs="Times New Roman"/>
          <w:sz w:val="26"/>
          <w:szCs w:val="26"/>
        </w:rPr>
        <w:tab/>
      </w:r>
      <w:r w:rsidRPr="0025216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</w:t>
      </w:r>
      <w:proofErr w:type="spellStart"/>
      <w:r w:rsidRPr="00252166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252166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:rsidR="00252166" w:rsidRPr="00252166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166">
        <w:rPr>
          <w:rFonts w:ascii="Times New Roman" w:eastAsia="Times New Roman" w:hAnsi="Times New Roman" w:cs="Times New Roman"/>
          <w:sz w:val="20"/>
          <w:szCs w:val="20"/>
        </w:rPr>
        <w:t>Діна Шевченко</w:t>
      </w:r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166">
        <w:rPr>
          <w:rFonts w:ascii="Times New Roman" w:eastAsia="Times New Roman" w:hAnsi="Times New Roman" w:cs="Times New Roman"/>
          <w:sz w:val="20"/>
          <w:szCs w:val="20"/>
        </w:rPr>
        <w:t>37 20 37</w:t>
      </w:r>
    </w:p>
    <w:p w:rsidR="00252166" w:rsidRP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166">
        <w:rPr>
          <w:rFonts w:ascii="Times New Roman" w:eastAsia="Times New Roman" w:hAnsi="Times New Roman" w:cs="Times New Roman"/>
          <w:sz w:val="20"/>
          <w:szCs w:val="20"/>
        </w:rPr>
        <w:t xml:space="preserve">Олена </w:t>
      </w:r>
      <w:proofErr w:type="spellStart"/>
      <w:r w:rsidRPr="00252166">
        <w:rPr>
          <w:rFonts w:ascii="Times New Roman" w:eastAsia="Times New Roman" w:hAnsi="Times New Roman" w:cs="Times New Roman"/>
          <w:sz w:val="20"/>
          <w:szCs w:val="20"/>
        </w:rPr>
        <w:t>Бернага</w:t>
      </w:r>
      <w:proofErr w:type="spellEnd"/>
    </w:p>
    <w:p w:rsidR="00252166" w:rsidRPr="00252166" w:rsidRDefault="00252166" w:rsidP="00252166">
      <w:pPr>
        <w:tabs>
          <w:tab w:val="left" w:pos="16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166">
        <w:rPr>
          <w:rFonts w:ascii="Times New Roman" w:eastAsia="Times New Roman" w:hAnsi="Times New Roman" w:cs="Times New Roman"/>
          <w:sz w:val="20"/>
          <w:szCs w:val="20"/>
        </w:rPr>
        <w:t xml:space="preserve">           37 07 18</w:t>
      </w:r>
      <w:r w:rsidRPr="0025216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Pr="00FB12EE" w:rsidRDefault="00252166" w:rsidP="0025216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FB12E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 w:rsidRPr="00252166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FB12EE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252166">
        <w:rPr>
          <w:rFonts w:ascii="Times New Roman" w:hAnsi="Times New Roman" w:cs="Times New Roman"/>
          <w:b/>
          <w:sz w:val="20"/>
          <w:szCs w:val="20"/>
        </w:rPr>
        <w:t>-1</w:t>
      </w:r>
      <w:r w:rsidRPr="00FB12EE">
        <w:rPr>
          <w:rFonts w:ascii="Times New Roman" w:hAnsi="Times New Roman" w:cs="Times New Roman"/>
          <w:b/>
          <w:sz w:val="20"/>
          <w:szCs w:val="20"/>
          <w:lang w:val="uk-UA"/>
        </w:rPr>
        <w:t>84</w:t>
      </w:r>
      <w:proofErr w:type="gramEnd"/>
    </w:p>
    <w:p w:rsidR="00252166" w:rsidRPr="00736A46" w:rsidRDefault="00252166" w:rsidP="0025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6A46">
        <w:rPr>
          <w:rFonts w:ascii="Times New Roman" w:hAnsi="Times New Roman" w:cs="Times New Roman"/>
          <w:sz w:val="28"/>
          <w:szCs w:val="28"/>
          <w:lang w:val="uk-UA"/>
        </w:rPr>
        <w:t>Порівняльн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6A46">
        <w:rPr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252166" w:rsidRDefault="00252166" w:rsidP="002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A4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36A4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36A4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736A4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736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Pr="00736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11.11.2020 </w:t>
      </w:r>
      <w:r w:rsidRPr="00DA37C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1114</w:t>
      </w:r>
      <w:r w:rsidRPr="00DA3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6A46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фінансових планів комунальних підприємств м. Миколаєва на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736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</w:t>
      </w:r>
    </w:p>
    <w:p w:rsidR="00252166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2166" w:rsidRPr="00F364AC" w:rsidRDefault="00252166" w:rsidP="0025216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4AC">
        <w:rPr>
          <w:rFonts w:ascii="Times New Roman" w:hAnsi="Times New Roman" w:cs="Times New Roman"/>
          <w:sz w:val="28"/>
          <w:szCs w:val="28"/>
          <w:lang w:val="uk-UA"/>
        </w:rPr>
        <w:t>Відповідно до аналітичного висновку до зміненого фінансового плану КНП ММР «Центр первинн</w:t>
      </w:r>
      <w:r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№6</w:t>
      </w:r>
      <w:r w:rsidRPr="00F364AC">
        <w:rPr>
          <w:rFonts w:ascii="Times New Roman" w:hAnsi="Times New Roman" w:cs="Times New Roman"/>
          <w:sz w:val="28"/>
          <w:szCs w:val="28"/>
          <w:lang w:val="uk-UA"/>
        </w:rPr>
        <w:t xml:space="preserve">» внесено наступні зміни: </w:t>
      </w:r>
    </w:p>
    <w:p w:rsidR="00252166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276"/>
        <w:gridCol w:w="1417"/>
        <w:gridCol w:w="1276"/>
        <w:gridCol w:w="1417"/>
      </w:tblGrid>
      <w:tr w:rsidR="00252166" w:rsidRPr="00016F21" w:rsidTr="0040367A">
        <w:trPr>
          <w:trHeight w:val="213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рядка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6F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Чинна редакція</w:t>
            </w:r>
          </w:p>
        </w:tc>
        <w:tc>
          <w:tcPr>
            <w:tcW w:w="2693" w:type="dxa"/>
            <w:gridSpan w:val="2"/>
            <w:vAlign w:val="center"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6F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Запропонована редакція</w:t>
            </w:r>
          </w:p>
        </w:tc>
      </w:tr>
      <w:tr w:rsidR="00252166" w:rsidRPr="00016F21" w:rsidTr="0040367A">
        <w:trPr>
          <w:trHeight w:val="401"/>
        </w:trPr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Плановий</w:t>
            </w: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рік  (усього)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у т.ч. за кварталами планового року </w:t>
            </w:r>
          </w:p>
        </w:tc>
        <w:tc>
          <w:tcPr>
            <w:tcW w:w="1276" w:type="dxa"/>
            <w:vMerge w:val="restart"/>
            <w:vAlign w:val="center"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Плановий рік  (усього)</w:t>
            </w:r>
          </w:p>
        </w:tc>
        <w:tc>
          <w:tcPr>
            <w:tcW w:w="1417" w:type="dxa"/>
            <w:vAlign w:val="center"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т.ч. за кварталами планового року</w:t>
            </w:r>
          </w:p>
        </w:tc>
      </w:tr>
      <w:tr w:rsidR="00252166" w:rsidRPr="00016F21" w:rsidTr="0040367A">
        <w:trPr>
          <w:trHeight w:val="563"/>
        </w:trPr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76" w:type="dxa"/>
            <w:vMerge/>
            <w:vAlign w:val="center"/>
          </w:tcPr>
          <w:p w:rsidR="00252166" w:rsidRPr="00016F21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</w:tc>
      </w:tr>
      <w:tr w:rsidR="00252166" w:rsidRPr="00016F21" w:rsidTr="0040367A">
        <w:trPr>
          <w:trHeight w:val="563"/>
        </w:trPr>
        <w:tc>
          <w:tcPr>
            <w:tcW w:w="10206" w:type="dxa"/>
            <w:gridSpan w:val="6"/>
            <w:shd w:val="clear" w:color="auto" w:fill="auto"/>
            <w:noWrap/>
            <w:vAlign w:val="center"/>
          </w:tcPr>
          <w:p w:rsidR="00252166" w:rsidRDefault="00252166" w:rsidP="0040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ІІІ. Інвестиційна діяльність </w:t>
            </w:r>
          </w:p>
          <w:p w:rsidR="00252166" w:rsidRPr="00FB12EE" w:rsidRDefault="00252166" w:rsidP="0040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52166" w:rsidRPr="00016F21" w:rsidTr="0040367A">
        <w:trPr>
          <w:trHeight w:val="563"/>
        </w:trPr>
        <w:tc>
          <w:tcPr>
            <w:tcW w:w="3969" w:type="dxa"/>
            <w:shd w:val="clear" w:color="auto" w:fill="auto"/>
            <w:noWrap/>
            <w:vAlign w:val="center"/>
          </w:tcPr>
          <w:p w:rsidR="00252166" w:rsidRDefault="00252166" w:rsidP="0040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Капітальні витрати, у т.ч.:</w:t>
            </w:r>
          </w:p>
          <w:p w:rsidR="00252166" w:rsidRPr="00FB12EE" w:rsidRDefault="00252166" w:rsidP="0040367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260,0</w:t>
            </w:r>
          </w:p>
        </w:tc>
        <w:tc>
          <w:tcPr>
            <w:tcW w:w="1417" w:type="dxa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260,0</w:t>
            </w:r>
          </w:p>
        </w:tc>
      </w:tr>
      <w:tr w:rsidR="00252166" w:rsidRPr="00016F21" w:rsidTr="0040367A">
        <w:trPr>
          <w:trHeight w:val="563"/>
        </w:trPr>
        <w:tc>
          <w:tcPr>
            <w:tcW w:w="3969" w:type="dxa"/>
            <w:shd w:val="clear" w:color="auto" w:fill="auto"/>
            <w:noWrap/>
            <w:vAlign w:val="center"/>
          </w:tcPr>
          <w:p w:rsidR="00252166" w:rsidRPr="00FB12EE" w:rsidRDefault="00252166" w:rsidP="002521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12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(виготовлення) основних засобів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260,0</w:t>
            </w:r>
          </w:p>
        </w:tc>
        <w:tc>
          <w:tcPr>
            <w:tcW w:w="1417" w:type="dxa"/>
            <w:vAlign w:val="center"/>
          </w:tcPr>
          <w:p w:rsidR="00252166" w:rsidRPr="00FB12EE" w:rsidRDefault="00252166" w:rsidP="0040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260,0</w:t>
            </w:r>
          </w:p>
        </w:tc>
      </w:tr>
    </w:tbl>
    <w:p w:rsidR="00252166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2166" w:rsidRPr="00D12662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166" w:rsidRPr="00D12662" w:rsidSect="00451A29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3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5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6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C0"/>
    <w:rsid w:val="00001297"/>
    <w:rsid w:val="00064F46"/>
    <w:rsid w:val="0007613B"/>
    <w:rsid w:val="000860B8"/>
    <w:rsid w:val="000C4A63"/>
    <w:rsid w:val="000D7153"/>
    <w:rsid w:val="000E3C97"/>
    <w:rsid w:val="000F3FAE"/>
    <w:rsid w:val="001014C2"/>
    <w:rsid w:val="0011158D"/>
    <w:rsid w:val="00112E9B"/>
    <w:rsid w:val="0013735E"/>
    <w:rsid w:val="00151BE5"/>
    <w:rsid w:val="001630CF"/>
    <w:rsid w:val="001A525B"/>
    <w:rsid w:val="001C41AB"/>
    <w:rsid w:val="00240CC0"/>
    <w:rsid w:val="00252166"/>
    <w:rsid w:val="002540DC"/>
    <w:rsid w:val="002835BF"/>
    <w:rsid w:val="00290495"/>
    <w:rsid w:val="002B7800"/>
    <w:rsid w:val="002C0E43"/>
    <w:rsid w:val="0034560E"/>
    <w:rsid w:val="003557E6"/>
    <w:rsid w:val="003C4DBE"/>
    <w:rsid w:val="003C63C0"/>
    <w:rsid w:val="00400BF5"/>
    <w:rsid w:val="00403468"/>
    <w:rsid w:val="00451A29"/>
    <w:rsid w:val="00463B0A"/>
    <w:rsid w:val="00463C3F"/>
    <w:rsid w:val="0047629F"/>
    <w:rsid w:val="004B5C1C"/>
    <w:rsid w:val="004D021A"/>
    <w:rsid w:val="00534901"/>
    <w:rsid w:val="005472DD"/>
    <w:rsid w:val="005821F1"/>
    <w:rsid w:val="00584694"/>
    <w:rsid w:val="005A4DAA"/>
    <w:rsid w:val="005B00EC"/>
    <w:rsid w:val="0060429B"/>
    <w:rsid w:val="00610664"/>
    <w:rsid w:val="006446FB"/>
    <w:rsid w:val="0068186E"/>
    <w:rsid w:val="006B1F61"/>
    <w:rsid w:val="006E171D"/>
    <w:rsid w:val="0072754B"/>
    <w:rsid w:val="00727BD8"/>
    <w:rsid w:val="007A10D1"/>
    <w:rsid w:val="007E1481"/>
    <w:rsid w:val="00834013"/>
    <w:rsid w:val="00836D91"/>
    <w:rsid w:val="00846CC7"/>
    <w:rsid w:val="00850DCE"/>
    <w:rsid w:val="00852A61"/>
    <w:rsid w:val="008654B3"/>
    <w:rsid w:val="00871E16"/>
    <w:rsid w:val="008760E7"/>
    <w:rsid w:val="008764F2"/>
    <w:rsid w:val="008A4AEF"/>
    <w:rsid w:val="008E25F7"/>
    <w:rsid w:val="009210F8"/>
    <w:rsid w:val="00922CA1"/>
    <w:rsid w:val="00936504"/>
    <w:rsid w:val="00981827"/>
    <w:rsid w:val="009A690E"/>
    <w:rsid w:val="009B7A0C"/>
    <w:rsid w:val="009C1C8B"/>
    <w:rsid w:val="009E170D"/>
    <w:rsid w:val="00A57BFC"/>
    <w:rsid w:val="00A75BFC"/>
    <w:rsid w:val="00AD3341"/>
    <w:rsid w:val="00AD5615"/>
    <w:rsid w:val="00AD66C9"/>
    <w:rsid w:val="00AE50D5"/>
    <w:rsid w:val="00B00B90"/>
    <w:rsid w:val="00B24895"/>
    <w:rsid w:val="00B31EC7"/>
    <w:rsid w:val="00B46715"/>
    <w:rsid w:val="00B60FE8"/>
    <w:rsid w:val="00B7281B"/>
    <w:rsid w:val="00BB2C10"/>
    <w:rsid w:val="00BB3524"/>
    <w:rsid w:val="00BC1F11"/>
    <w:rsid w:val="00BC4665"/>
    <w:rsid w:val="00BE3889"/>
    <w:rsid w:val="00BF6384"/>
    <w:rsid w:val="00C12ADB"/>
    <w:rsid w:val="00C94F2B"/>
    <w:rsid w:val="00C956BE"/>
    <w:rsid w:val="00CA1615"/>
    <w:rsid w:val="00CE35EA"/>
    <w:rsid w:val="00CF6E52"/>
    <w:rsid w:val="00D0708E"/>
    <w:rsid w:val="00D12662"/>
    <w:rsid w:val="00D2630B"/>
    <w:rsid w:val="00D817A3"/>
    <w:rsid w:val="00D8481F"/>
    <w:rsid w:val="00DA4C81"/>
    <w:rsid w:val="00DA50A8"/>
    <w:rsid w:val="00DD70E8"/>
    <w:rsid w:val="00E066E5"/>
    <w:rsid w:val="00E07B58"/>
    <w:rsid w:val="00E1071F"/>
    <w:rsid w:val="00E56C2B"/>
    <w:rsid w:val="00E576A0"/>
    <w:rsid w:val="00E83B75"/>
    <w:rsid w:val="00EA4802"/>
    <w:rsid w:val="00EE208E"/>
    <w:rsid w:val="00F3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2</cp:revision>
  <cp:lastPrinted>2021-04-21T11:40:00Z</cp:lastPrinted>
  <dcterms:created xsi:type="dcterms:W3CDTF">2021-04-23T06:44:00Z</dcterms:created>
  <dcterms:modified xsi:type="dcterms:W3CDTF">2021-04-23T06:44:00Z</dcterms:modified>
</cp:coreProperties>
</file>