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BF49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2BD">
        <w:rPr>
          <w:rFonts w:ascii="Times New Roman" w:hAnsi="Times New Roman" w:cs="Times New Roman"/>
          <w:sz w:val="20"/>
          <w:szCs w:val="20"/>
        </w:rPr>
        <w:t>v-dj-098gk</w:t>
      </w:r>
    </w:p>
    <w:p w14:paraId="2B5816BB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CDB26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02B22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3613C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6293E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8FF52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7D7CA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E228C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01740" w14:textId="77777777" w:rsidR="00B876F7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1989195"/>
    </w:p>
    <w:p w14:paraId="54D8A32E" w14:textId="77777777" w:rsidR="00B876F7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8FDA3" w14:textId="77777777" w:rsidR="00B876F7" w:rsidRPr="004B72BD" w:rsidRDefault="00B876F7" w:rsidP="00B876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4B72B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B72BD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bookmarkStart w:id="1" w:name="_Hlk151985112"/>
      <w:r w:rsidRPr="004B72BD">
        <w:rPr>
          <w:rFonts w:ascii="Times New Roman" w:hAnsi="Times New Roman" w:cs="Times New Roman"/>
          <w:sz w:val="28"/>
          <w:szCs w:val="28"/>
        </w:rPr>
        <w:t>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років»</w:t>
      </w:r>
      <w:bookmarkEnd w:id="1"/>
    </w:p>
    <w:bookmarkEnd w:id="0"/>
    <w:p w14:paraId="0C2709EB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43C95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51385" w14:textId="77777777" w:rsidR="00B876F7" w:rsidRPr="004B72BD" w:rsidRDefault="00B876F7" w:rsidP="00B8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4B72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B72BD">
        <w:rPr>
          <w:rFonts w:ascii="Times New Roman" w:hAnsi="Times New Roman" w:cs="Times New Roman"/>
          <w:sz w:val="28"/>
          <w:szCs w:val="28"/>
        </w:rPr>
        <w:t xml:space="preserve"> рішення міської ради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років», керуючись </w:t>
      </w:r>
      <w:proofErr w:type="spellStart"/>
      <w:r w:rsidRPr="004B72B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B72BD">
        <w:rPr>
          <w:rFonts w:ascii="Times New Roman" w:hAnsi="Times New Roman" w:cs="Times New Roman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654AA4AA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F54E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ВИРІШИВ:</w:t>
      </w:r>
    </w:p>
    <w:p w14:paraId="291EB297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0B12" w14:textId="77777777" w:rsidR="00B876F7" w:rsidRPr="004B72BD" w:rsidRDefault="00B876F7" w:rsidP="00B8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 xml:space="preserve">1. Винести на розгляд міської ради </w:t>
      </w:r>
      <w:proofErr w:type="spellStart"/>
      <w:r w:rsidRPr="004B72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B72BD">
        <w:rPr>
          <w:rFonts w:ascii="Times New Roman" w:hAnsi="Times New Roman" w:cs="Times New Roman"/>
          <w:sz w:val="28"/>
          <w:szCs w:val="28"/>
        </w:rPr>
        <w:t xml:space="preserve"> рішення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років».</w:t>
      </w:r>
    </w:p>
    <w:p w14:paraId="77D37E90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B5007" w14:textId="77777777" w:rsidR="00B876F7" w:rsidRPr="004B72BD" w:rsidRDefault="00B876F7" w:rsidP="00B8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5229DDCE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F09B2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3ADAE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AD902" w14:textId="77777777" w:rsidR="00B876F7" w:rsidRPr="004B72BD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О. СЄНКЕВИЧ</w:t>
      </w:r>
    </w:p>
    <w:p w14:paraId="45E3F1AD" w14:textId="77777777" w:rsidR="00B876F7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B4C6B" w14:textId="77777777" w:rsidR="00B876F7" w:rsidRDefault="00B876F7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C756E" w14:textId="5051AF9D" w:rsidR="00181333" w:rsidRDefault="00181333" w:rsidP="0018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3AB60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2BD">
        <w:rPr>
          <w:rFonts w:ascii="Times New Roman" w:hAnsi="Times New Roman" w:cs="Times New Roman"/>
          <w:sz w:val="20"/>
          <w:szCs w:val="20"/>
        </w:rPr>
        <w:lastRenderedPageBreak/>
        <w:t>s-dj-070gk</w:t>
      </w:r>
    </w:p>
    <w:p w14:paraId="1A4250DA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7FE7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BB068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B90C5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DD3AB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E3BEF" w14:textId="77777777" w:rsidR="00FD646E" w:rsidRPr="004B72BD" w:rsidRDefault="00FD646E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85BEE" w14:textId="77777777" w:rsidR="004B72BD" w:rsidRPr="004B72BD" w:rsidRDefault="004B72BD" w:rsidP="004B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EE3DA" w14:textId="77777777" w:rsidR="003020BA" w:rsidRDefault="003020BA" w:rsidP="004B72B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14:paraId="6AA94A23" w14:textId="77777777" w:rsidR="003020BA" w:rsidRDefault="003020BA" w:rsidP="004B72B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14:paraId="586E208E" w14:textId="69F80373" w:rsidR="00FD646E" w:rsidRPr="004B72BD" w:rsidRDefault="00FD646E" w:rsidP="00B55D8A">
      <w:pPr>
        <w:spacing w:after="0" w:line="228" w:lineRule="auto"/>
        <w:ind w:right="2408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</w:t>
      </w:r>
    </w:p>
    <w:p w14:paraId="13E3D489" w14:textId="655519BA" w:rsidR="00FD646E" w:rsidRDefault="00FD646E" w:rsidP="00B55D8A">
      <w:pPr>
        <w:spacing w:after="0" w:line="228" w:lineRule="auto"/>
        <w:ind w:right="2408"/>
        <w:jc w:val="both"/>
        <w:rPr>
          <w:rFonts w:ascii="Times New Roman" w:hAnsi="Times New Roman" w:cs="Times New Roman"/>
          <w:sz w:val="28"/>
          <w:szCs w:val="28"/>
        </w:rPr>
      </w:pPr>
    </w:p>
    <w:p w14:paraId="0CC8D7A1" w14:textId="77777777" w:rsidR="004B72BD" w:rsidRPr="004B72BD" w:rsidRDefault="004B72BD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434B" w14:textId="52AC4FBB" w:rsidR="00FD646E" w:rsidRDefault="00FD646E" w:rsidP="003020BA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З метою забезпечення мешканців Миколаївської міської територіальної громади безперебійним теплопостачанням, запобігання виникненню надзвичайних ситуацій під час проходження опалювального сезону 2023-2024 років, беручи до уваги Указ Президента України від 24.02.2022 №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64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Україні», керуючись п.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22 ч.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1 ст.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26, ст.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рада:</w:t>
      </w:r>
    </w:p>
    <w:p w14:paraId="29F72267" w14:textId="77777777" w:rsidR="00906437" w:rsidRPr="004B72BD" w:rsidRDefault="00906437" w:rsidP="003020BA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B5E93" w14:textId="377B8FB4" w:rsidR="00FD646E" w:rsidRDefault="00FD646E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ВИРІШИЛА:</w:t>
      </w:r>
    </w:p>
    <w:p w14:paraId="1A44ACE8" w14:textId="77777777" w:rsidR="00906437" w:rsidRPr="004B72BD" w:rsidRDefault="00906437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80E6E" w14:textId="1CDB9FCE" w:rsidR="00FD646E" w:rsidRPr="004B72BD" w:rsidRDefault="00FD646E" w:rsidP="003020BA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1.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Затвердити Програму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 (додається).</w:t>
      </w:r>
    </w:p>
    <w:p w14:paraId="366E9AC8" w14:textId="712713E6" w:rsidR="00FD646E" w:rsidRPr="004B72BD" w:rsidRDefault="00FD646E" w:rsidP="003020BA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>2.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BE1558">
        <w:rPr>
          <w:rFonts w:ascii="Times New Roman" w:hAnsi="Times New Roman" w:cs="Times New Roman"/>
          <w:sz w:val="28"/>
          <w:szCs w:val="28"/>
        </w:rPr>
        <w:t>і</w:t>
      </w:r>
      <w:r w:rsidRPr="004B72B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BE1558">
        <w:rPr>
          <w:rFonts w:ascii="Times New Roman" w:hAnsi="Times New Roman" w:cs="Times New Roman"/>
          <w:sz w:val="28"/>
          <w:szCs w:val="28"/>
        </w:rPr>
        <w:t>ї</w:t>
      </w:r>
      <w:r w:rsidRPr="004B72B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685917" w:rsidRPr="005B4917">
        <w:rPr>
          <w:sz w:val="27"/>
          <w:szCs w:val="27"/>
        </w:rPr>
        <w:t>:</w:t>
      </w:r>
      <w:r w:rsidRPr="004B72BD">
        <w:rPr>
          <w:rFonts w:ascii="Times New Roman" w:hAnsi="Times New Roman" w:cs="Times New Roman"/>
          <w:sz w:val="28"/>
          <w:szCs w:val="28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4B72BD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4B72BD">
        <w:rPr>
          <w:rFonts w:ascii="Times New Roman" w:hAnsi="Times New Roman" w:cs="Times New Roman"/>
          <w:sz w:val="28"/>
          <w:szCs w:val="28"/>
        </w:rPr>
        <w:t xml:space="preserve"> (Іванова), заступника міського голови Андрієнка</w:t>
      </w:r>
      <w:r w:rsidR="00312786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Ю.Г.</w:t>
      </w:r>
    </w:p>
    <w:p w14:paraId="543A4DA4" w14:textId="77777777" w:rsidR="00906437" w:rsidRDefault="00906437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59CE8" w14:textId="77777777" w:rsidR="00906437" w:rsidRDefault="00906437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D05F0" w14:textId="77777777" w:rsidR="00906437" w:rsidRDefault="00906437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4B835" w14:textId="25CBAE4F" w:rsidR="00FD646E" w:rsidRDefault="00FD646E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BD">
        <w:rPr>
          <w:rFonts w:ascii="Times New Roman" w:hAnsi="Times New Roman" w:cs="Times New Roman"/>
          <w:sz w:val="28"/>
          <w:szCs w:val="28"/>
        </w:rPr>
        <w:t xml:space="preserve">Міський голова                                                                                </w:t>
      </w:r>
      <w:r w:rsidR="00906437">
        <w:rPr>
          <w:rFonts w:ascii="Times New Roman" w:hAnsi="Times New Roman" w:cs="Times New Roman"/>
          <w:sz w:val="28"/>
          <w:szCs w:val="28"/>
        </w:rPr>
        <w:t xml:space="preserve">     </w:t>
      </w:r>
      <w:r w:rsidRPr="004B72BD">
        <w:rPr>
          <w:rFonts w:ascii="Times New Roman" w:hAnsi="Times New Roman" w:cs="Times New Roman"/>
          <w:sz w:val="28"/>
          <w:szCs w:val="28"/>
        </w:rPr>
        <w:t xml:space="preserve"> О.</w:t>
      </w:r>
      <w:r w:rsidR="00906437">
        <w:rPr>
          <w:rFonts w:ascii="Times New Roman" w:hAnsi="Times New Roman" w:cs="Times New Roman"/>
          <w:sz w:val="28"/>
          <w:szCs w:val="28"/>
        </w:rPr>
        <w:t> </w:t>
      </w:r>
      <w:r w:rsidRPr="004B72BD">
        <w:rPr>
          <w:rFonts w:ascii="Times New Roman" w:hAnsi="Times New Roman" w:cs="Times New Roman"/>
          <w:sz w:val="28"/>
          <w:szCs w:val="28"/>
        </w:rPr>
        <w:t>СЄНКЕВИЧ</w:t>
      </w:r>
    </w:p>
    <w:p w14:paraId="11EAD0BD" w14:textId="7856936F" w:rsidR="003020BA" w:rsidRDefault="00302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130B" w14:textId="77777777" w:rsidR="003020BA" w:rsidRPr="004B72BD" w:rsidRDefault="003020BA" w:rsidP="003020B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BA305" w14:textId="77777777" w:rsidR="00FD646E" w:rsidRPr="008B011A" w:rsidRDefault="00FD646E" w:rsidP="00906437">
      <w:pP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14:paraId="10F9C186" w14:textId="77777777" w:rsidR="00FD646E" w:rsidRPr="008B011A" w:rsidRDefault="00FD646E" w:rsidP="00906437">
      <w:pP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міської ради</w:t>
      </w:r>
    </w:p>
    <w:p w14:paraId="5881E8D3" w14:textId="6926B133" w:rsidR="00FD646E" w:rsidRDefault="00FD646E" w:rsidP="00906437">
      <w:pP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</w:t>
      </w:r>
      <w:r w:rsidR="0090643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</w:t>
      </w:r>
    </w:p>
    <w:p w14:paraId="0C68E4D8" w14:textId="5943C1D7" w:rsidR="00906437" w:rsidRPr="008B011A" w:rsidRDefault="00906437" w:rsidP="00906437">
      <w:pPr>
        <w:shd w:val="clear" w:color="auto" w:fill="FFFFFF"/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_______________________</w:t>
      </w:r>
    </w:p>
    <w:p w14:paraId="0ACDDADF" w14:textId="77777777" w:rsidR="00FD646E" w:rsidRPr="008B011A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165245ED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514F51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5CB56F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A94973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73B0B8" w14:textId="77777777" w:rsidR="00FD646E" w:rsidRPr="008B011A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часткової компенсації вартості закупівлі електрогенераторів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60CE">
        <w:rPr>
          <w:rFonts w:ascii="Times New Roman" w:hAnsi="Times New Roman" w:cs="Times New Roman"/>
          <w:sz w:val="28"/>
          <w:szCs w:val="28"/>
        </w:rPr>
        <w:t>та портативних електростанцій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14:paraId="0C4F6B13" w14:textId="77777777" w:rsidR="00FD646E" w:rsidRPr="008B011A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DCB5E6A" w14:textId="77777777" w:rsidR="00FD646E" w:rsidRPr="008B011A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DF1F048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9BE9F4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6AE96A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89750E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5C62FE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4E7A00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AB0FAA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84D968" w14:textId="77777777" w:rsidR="00FD646E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F52A3A" w14:textId="376643F6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  <w:r w:rsidR="0032133E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 положення</w:t>
      </w:r>
    </w:p>
    <w:p w14:paraId="0D61C652" w14:textId="6059AE8D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5217D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 передбачено компенсацію на відшкодування вартості закупівлі електрогенераторів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у багатоквартирних будинках.</w:t>
      </w:r>
    </w:p>
    <w:p w14:paraId="7B01E3B2" w14:textId="57A5A938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1.1.1.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Генератор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портативна електростанція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закуплен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</w:t>
      </w:r>
      <w:r w:rsidRPr="00BD439C">
        <w:rPr>
          <w:rFonts w:ascii="Times New Roman" w:eastAsia="Times New Roman" w:hAnsi="Times New Roman" w:cs="Times New Roman"/>
          <w:sz w:val="28"/>
          <w:szCs w:val="28"/>
          <w:lang w:eastAsia="uk-UA"/>
        </w:rPr>
        <w:t>01 червня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D4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року, окрім тих хто отримав компенсацію згідно з рішенням міської ради від 27.12.2022 № 16/3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років».</w:t>
      </w:r>
    </w:p>
    <w:p w14:paraId="12890E71" w14:textId="340B19DC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відшкодування не може перевищувати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50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% вартості електрогенератора, але не більше 30 тис. грн.</w:t>
      </w:r>
    </w:p>
    <w:p w14:paraId="2EFBB262" w14:textId="7D2E9670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1.3.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до електрогенератора – номінальна потужність від 3 кВт включно. </w:t>
      </w:r>
    </w:p>
    <w:p w14:paraId="08F72F53" w14:textId="7A8F18BA" w:rsidR="00FD646E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1.4.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відшкодування не може перевищувати 50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вартості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не більше </w:t>
      </w:r>
      <w:r w:rsidRPr="00BD439C">
        <w:rPr>
          <w:rFonts w:ascii="Times New Roman" w:eastAsia="Times New Roman" w:hAnsi="Times New Roman" w:cs="Times New Roman"/>
          <w:sz w:val="28"/>
          <w:szCs w:val="28"/>
          <w:lang w:eastAsia="uk-UA"/>
        </w:rPr>
        <w:t>40 тис. грн.</w:t>
      </w:r>
    </w:p>
    <w:p w14:paraId="0DDF2ED7" w14:textId="4D5A4EDC" w:rsidR="00FD646E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1.5.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до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номінальна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потужність від 700 Вт до 5 кВт включно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149D9C" w14:textId="71AFB164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1.6.</w:t>
      </w:r>
      <w:r w:rsidR="003213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Учасниками Програми є: об’єднання співвласників багатоквартирних будинків, управляючі компанії (управителі), виконавці житлових послуг будинків, а також ЖБК м. Миколаєва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Учасники програми)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EF49A8" w14:textId="7BF849E5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E97FA8" w14:textId="1836FDFB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проблеми, на розв’язання якої спрямована Програма</w:t>
      </w:r>
    </w:p>
    <w:p w14:paraId="4DD330C3" w14:textId="6C98C56A" w:rsidR="00FD646E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розроблена у зв’язку із необхідністю вирішення проблеми перебоїв у електропостачанні у місті Миколаєві, </w:t>
      </w:r>
      <w:r w:rsidR="00D50E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виникають у зв’язку із збройною агресією Російської Федерації проти України</w:t>
      </w:r>
      <w:r w:rsidR="00D50E3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призводить до відсутності (часткової відсутності) електропостачання у місті Миколаєві. В свою чергу відсутність електропостачання призводить до унеможливлення забезпечення базових потреб життєзабезпечення мешканців міста (наявн</w:t>
      </w:r>
      <w:r w:rsidR="009436A5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тепла у оселях; можливості залишатися на зв’язку із рідними та знайомими; можливості використання будь-якого електроприлад</w:t>
      </w:r>
      <w:r w:rsidR="002544A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оселях тощо). </w:t>
      </w:r>
    </w:p>
    <w:p w14:paraId="3A0295C9" w14:textId="77777777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10391DE8" w14:textId="5245E572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 та ціль Програми</w:t>
      </w:r>
    </w:p>
    <w:p w14:paraId="7A3D179B" w14:textId="59AF3010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 Програми: забезпечення співвласників багатоквартирних житлових будинків альтернативними джерелами електроенергії при проходженні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D6203" w:rsidRPr="00CD6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6203" w:rsidRPr="00BD43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BF9CB5" w14:textId="77777777" w:rsidR="00FD646E" w:rsidRPr="008B011A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 програми: зниження фінансового навантаження на співвласників будинків під час придбання таких приладів.</w:t>
      </w:r>
    </w:p>
    <w:p w14:paraId="15EB87ED" w14:textId="77777777" w:rsidR="00FD646E" w:rsidRPr="008B011A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7CA3D1B" w14:textId="76EBD20E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 виконання  Програми</w:t>
      </w:r>
    </w:p>
    <w:p w14:paraId="7496FC83" w14:textId="77777777" w:rsidR="00FD646E" w:rsidRPr="00800EE7" w:rsidRDefault="00FD646E" w:rsidP="00FD646E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Конкретний механізм виконання Програми затверджується рішенням виконавчого комітету Миколаївської міської ради.</w:t>
      </w:r>
    </w:p>
    <w:p w14:paraId="5F622746" w14:textId="77777777" w:rsidR="00FD646E" w:rsidRPr="00800EE7" w:rsidRDefault="00FD646E" w:rsidP="00FD646E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механізмі виконання Програми визначається процедура прийняття заявок на компенсацію, порядок їх розгляду та подальшого виконання.</w:t>
      </w:r>
    </w:p>
    <w:p w14:paraId="538981AB" w14:textId="52D272C5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D4063C5" w14:textId="77777777" w:rsidR="00FD646E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 і засобом розв’язання проблеми відсутності (часткової відсутності) електропостачання є закупівля електрогенераторів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багатоквартирні будинки, які в залежності від потужності, зможуть забезпечити певну базову кількість потреб мешканців відповідного багатоквартирного будинку.</w:t>
      </w:r>
    </w:p>
    <w:p w14:paraId="0A4076EE" w14:textId="31EECDCD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Електрогенератори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є альтернативою електропостачання, а мають на меті забезпечити покриття хоча б частково потреб населення (можлив</w:t>
      </w:r>
      <w:r w:rsidR="00E076BB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опалення певного приміщення загального користування, можливість забезпечення зарядки гаджетів мешканців будинку, підігріву певної кількості води для приготування їжі та чаю (актуально для тих мешканців, що не мають газопостачання </w:t>
      </w:r>
      <w:r w:rsidR="00E0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E076B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інш</w:t>
      </w:r>
      <w:r w:rsidR="00E076B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причин</w:t>
      </w:r>
      <w:r w:rsidR="00E076B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61F2D53" w14:textId="15BB87E4" w:rsidR="00FD646E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 Програми здійснюється за рахунок коштів бюджету Миколаївської міської територіальної громади, коштів Учасників Програми та інших джерел, не</w:t>
      </w:r>
      <w:r w:rsidR="00184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заборонених законодавством України.</w:t>
      </w:r>
    </w:p>
    <w:p w14:paraId="551AB114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видатків на реалізацію Програми за рахунок коштів бюджету Миколаївської міської територіальної громади проводиться у межах коштів, передбачених на відповідний бюджетний період.</w:t>
      </w:r>
    </w:p>
    <w:p w14:paraId="7C0823A1" w14:textId="4905E085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приймається з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строком дії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має на меті забезпечити наявність максимальної кількості електрогенераторів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багатоквартирних житлових будинках.</w:t>
      </w:r>
    </w:p>
    <w:p w14:paraId="5F4BCFBF" w14:textId="77777777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A6DC0C1" w14:textId="376507ED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завдань і заходів Програми та результативні показники</w:t>
      </w:r>
    </w:p>
    <w:p w14:paraId="5F889B4E" w14:textId="6EF2700B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Програми зводиться до вирішення питання наявності (часткової наявності) електропостачання в багатоквартирних будинках міста Миколаєва.</w:t>
      </w:r>
    </w:p>
    <w:p w14:paraId="16BAEE75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завдань Програми </w:t>
      </w:r>
      <w:proofErr w:type="spellStart"/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надасть</w:t>
      </w:r>
      <w:proofErr w:type="spellEnd"/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можливість:</w:t>
      </w:r>
    </w:p>
    <w:p w14:paraId="1C5AC04B" w14:textId="49FC8F1C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зменшити негативні наслідки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відсутністю електропостачання або його перебоями;</w:t>
      </w:r>
    </w:p>
    <w:p w14:paraId="608FC327" w14:textId="790AFA5D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окремих випадках забезпечити теплопостачання (у будинках, де має місце власна котельня) навіть в умовах відсутності електропостачання;</w:t>
      </w:r>
    </w:p>
    <w:p w14:paraId="063E9B12" w14:textId="71E1652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безперервн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отримання базових потреб мешканців міста Миколаєва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пов’язаних із нормальним проживанням у багатоквартирних будинках.</w:t>
      </w:r>
    </w:p>
    <w:p w14:paraId="2ACFA43C" w14:textId="1BF44ED7" w:rsidR="00FD646E" w:rsidRPr="008B011A" w:rsidRDefault="00FD646E" w:rsidP="00FD646E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 прогнозован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електрогенераторів</w:t>
      </w:r>
      <w:r w:rsidRPr="00AF2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, вартість яких буде частково компенсована за рахунок коштів місцевого бюджету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 не є можливим у зв’язку із тим, що велика кількість багатоквартирних будинків наразі заселена лише частково (або взагалі не заселена). Крім того, фінансовий стан управителів та ОСББ на сьогодні не є сталим, а тому все залежить виключно від ініціативи мешканців багатоквартирних будинків, в частині їх можливостей в умовах сьогодення.</w:t>
      </w:r>
    </w:p>
    <w:p w14:paraId="7ADC4917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Результативними показниками виконання Програми є:</w:t>
      </w:r>
    </w:p>
    <w:p w14:paraId="6FECF981" w14:textId="0681493A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багатоквартирних житлових будинків, які будуть забезпечені альтернативним джерелом електропостачання;</w:t>
      </w:r>
    </w:p>
    <w:p w14:paraId="712CB755" w14:textId="28E2F59C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орієнтовна кількість мешканців міста, які будуть забезпечені альтернативним джерелом електропостачання;</w:t>
      </w:r>
    </w:p>
    <w:p w14:paraId="5B822041" w14:textId="25F53CB6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електрогенераторів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D3758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вартість яких частково компенсована;</w:t>
      </w:r>
    </w:p>
    <w:p w14:paraId="2A1C3881" w14:textId="09D2C6BC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грошових коштів, які будуть зекономлені Учасниками Програми.</w:t>
      </w:r>
    </w:p>
    <w:p w14:paraId="17B06D01" w14:textId="77777777" w:rsidR="00FD646E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співвласників багатоквартирних будинків аварійним електропостачанням для уможливлення функціонування (часткове функціонування) </w:t>
      </w:r>
      <w:proofErr w:type="spellStart"/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внутрішньобудинкових</w:t>
      </w:r>
      <w:proofErr w:type="spellEnd"/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у тому числі опалення у випадку відсутності електропостачання.</w:t>
      </w:r>
    </w:p>
    <w:p w14:paraId="6652856B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D553B5" w14:textId="77777777" w:rsidR="00FD646E" w:rsidRPr="00E63E5A" w:rsidRDefault="00FD646E" w:rsidP="00FD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63E5A">
        <w:rPr>
          <w:rFonts w:ascii="Times New Roman" w:hAnsi="Times New Roman" w:cs="Times New Roman"/>
          <w:sz w:val="28"/>
          <w:szCs w:val="28"/>
        </w:rPr>
        <w:t>Перелік результативних показників виконання Програми</w:t>
      </w:r>
    </w:p>
    <w:p w14:paraId="40F90791" w14:textId="77777777" w:rsidR="00FD646E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1417"/>
        <w:gridCol w:w="1276"/>
        <w:gridCol w:w="1984"/>
      </w:tblGrid>
      <w:tr w:rsidR="00FD646E" w:rsidRPr="00E63E5A" w14:paraId="60FC158C" w14:textId="77777777" w:rsidTr="0006357D">
        <w:trPr>
          <w:trHeight w:val="284"/>
        </w:trPr>
        <w:tc>
          <w:tcPr>
            <w:tcW w:w="4849" w:type="dxa"/>
            <w:vMerge w:val="restart"/>
            <w:vAlign w:val="center"/>
          </w:tcPr>
          <w:p w14:paraId="2CA42416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417" w:type="dxa"/>
            <w:vMerge w:val="restart"/>
            <w:vAlign w:val="center"/>
          </w:tcPr>
          <w:p w14:paraId="300934BD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3260" w:type="dxa"/>
            <w:gridSpan w:val="2"/>
            <w:vAlign w:val="center"/>
          </w:tcPr>
          <w:p w14:paraId="6C38FAD8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FD646E" w:rsidRPr="00E63E5A" w14:paraId="41818F7A" w14:textId="77777777" w:rsidTr="0006357D">
        <w:trPr>
          <w:trHeight w:val="284"/>
        </w:trPr>
        <w:tc>
          <w:tcPr>
            <w:tcW w:w="4849" w:type="dxa"/>
            <w:vMerge/>
            <w:vAlign w:val="center"/>
          </w:tcPr>
          <w:p w14:paraId="41D3770C" w14:textId="77777777" w:rsidR="00FD646E" w:rsidRPr="00E63E5A" w:rsidRDefault="00FD646E" w:rsidP="007B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88AE35F" w14:textId="77777777" w:rsidR="00FD646E" w:rsidRPr="00E63E5A" w:rsidRDefault="00FD646E" w:rsidP="007B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418F73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14:paraId="752903BE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D646E" w:rsidRPr="00E63E5A" w14:paraId="1C474D02" w14:textId="77777777" w:rsidTr="0006357D">
        <w:trPr>
          <w:trHeight w:val="284"/>
        </w:trPr>
        <w:tc>
          <w:tcPr>
            <w:tcW w:w="4849" w:type="dxa"/>
            <w:vAlign w:val="center"/>
          </w:tcPr>
          <w:p w14:paraId="226A141D" w14:textId="77777777" w:rsidR="00FD646E" w:rsidRPr="00416F55" w:rsidRDefault="00FD646E" w:rsidP="0006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F55">
              <w:rPr>
                <w:rFonts w:ascii="Times New Roman" w:hAnsi="Times New Roman" w:cs="Times New Roman"/>
                <w:sz w:val="28"/>
                <w:szCs w:val="28"/>
              </w:rPr>
              <w:t>Показник затрат</w:t>
            </w:r>
          </w:p>
        </w:tc>
        <w:tc>
          <w:tcPr>
            <w:tcW w:w="1417" w:type="dxa"/>
          </w:tcPr>
          <w:p w14:paraId="5A925960" w14:textId="77777777" w:rsidR="00FD646E" w:rsidRPr="00E63E5A" w:rsidRDefault="00FD646E" w:rsidP="007B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7BA499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1664A91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6E" w:rsidRPr="00E63E5A" w14:paraId="593F3D14" w14:textId="77777777" w:rsidTr="0006357D">
        <w:trPr>
          <w:trHeight w:val="284"/>
        </w:trPr>
        <w:tc>
          <w:tcPr>
            <w:tcW w:w="4849" w:type="dxa"/>
            <w:vAlign w:val="center"/>
          </w:tcPr>
          <w:p w14:paraId="7661FF45" w14:textId="77777777" w:rsidR="00FD646E" w:rsidRPr="00E63E5A" w:rsidRDefault="00FD646E" w:rsidP="0006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Обсяг ресурсів, усього</w:t>
            </w:r>
          </w:p>
        </w:tc>
        <w:tc>
          <w:tcPr>
            <w:tcW w:w="1417" w:type="dxa"/>
          </w:tcPr>
          <w:p w14:paraId="288AE717" w14:textId="77777777" w:rsidR="00FD646E" w:rsidRPr="00E63E5A" w:rsidRDefault="00FD646E" w:rsidP="007B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276" w:type="dxa"/>
          </w:tcPr>
          <w:p w14:paraId="73D01BEB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1CBF9EA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FD646E" w:rsidRPr="00E63E5A" w14:paraId="0C8FC850" w14:textId="77777777" w:rsidTr="0006357D">
        <w:trPr>
          <w:trHeight w:val="284"/>
        </w:trPr>
        <w:tc>
          <w:tcPr>
            <w:tcW w:w="4849" w:type="dxa"/>
            <w:vAlign w:val="center"/>
          </w:tcPr>
          <w:p w14:paraId="6A171582" w14:textId="77777777" w:rsidR="00FD646E" w:rsidRPr="00416F55" w:rsidRDefault="00FD646E" w:rsidP="0006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F55">
              <w:rPr>
                <w:rFonts w:ascii="Times New Roman" w:hAnsi="Times New Roman" w:cs="Times New Roman"/>
                <w:sz w:val="28"/>
                <w:szCs w:val="28"/>
              </w:rPr>
              <w:t>Показник якості</w:t>
            </w:r>
          </w:p>
        </w:tc>
        <w:tc>
          <w:tcPr>
            <w:tcW w:w="1417" w:type="dxa"/>
          </w:tcPr>
          <w:p w14:paraId="12A115FD" w14:textId="77777777" w:rsidR="00FD646E" w:rsidRPr="00E63E5A" w:rsidRDefault="00FD646E" w:rsidP="007B2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544C1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BB82A5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6E" w:rsidRPr="00E63E5A" w14:paraId="1DD5BB5D" w14:textId="77777777" w:rsidTr="0006357D">
        <w:trPr>
          <w:trHeight w:val="284"/>
        </w:trPr>
        <w:tc>
          <w:tcPr>
            <w:tcW w:w="4849" w:type="dxa"/>
            <w:vAlign w:val="center"/>
          </w:tcPr>
          <w:p w14:paraId="03046CC6" w14:textId="77777777" w:rsidR="00FD646E" w:rsidRPr="00E63E5A" w:rsidRDefault="00FD646E" w:rsidP="0006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компенсація вартості електрогенераторів та портативних електростанцій до потреби</w:t>
            </w:r>
          </w:p>
        </w:tc>
        <w:tc>
          <w:tcPr>
            <w:tcW w:w="1417" w:type="dxa"/>
          </w:tcPr>
          <w:p w14:paraId="5BCD94E3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78D5A1B4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6A9740C" w14:textId="77777777" w:rsidR="00FD646E" w:rsidRPr="00E63E5A" w:rsidRDefault="00FD646E" w:rsidP="007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B81B1CF" w14:textId="77777777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8F0F91" w14:textId="5AC5869D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діяльності та заходи Програми</w:t>
      </w:r>
    </w:p>
    <w:p w14:paraId="7054FE72" w14:textId="4EA9EFE7" w:rsidR="00FD646E" w:rsidRDefault="00FD646E" w:rsidP="00FD6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комплексу завдань визначено, що у разі закупівлі Учасниками Програми електрогенераторів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</w:t>
      </w: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>01.06.202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потреб мешканців багатоквартирного будинку, містом здійснюється часткова компенсація вартості закупівлі таких електрогенераторів</w:t>
      </w:r>
      <w:r w:rsidRPr="00AF2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(50% від вартості електрогенератора, але не більше 30 тис. грн</w:t>
      </w:r>
      <w:r w:rsidR="00DA719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50%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вартості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не більше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0 тис. грн)</w:t>
      </w: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>, окрім тих</w:t>
      </w:r>
      <w:r w:rsidR="00DA719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00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хто отримав компенсацію згідно з рішенням міської ради від 27.12.2022 № 16/3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2 до Програми).</w:t>
      </w:r>
    </w:p>
    <w:p w14:paraId="07B25447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діяльності відповідають основним завданням та повноваженням, які покладені на органи місцевого самоврядування, та полягають у  організації та забезпеченні життєдіяльності постраждалих від наслідків надзвичайних ситуацій, а також під час ведення воєнних (бойових) дій або внаслідок таких дій.</w:t>
      </w:r>
    </w:p>
    <w:p w14:paraId="5F57DAD1" w14:textId="77777777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8727884" w14:textId="752FE4ED" w:rsidR="00FD646E" w:rsidRPr="00416F55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="0006357D"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 та контроль за ходом виконання програми</w:t>
      </w:r>
    </w:p>
    <w:p w14:paraId="6A862BB4" w14:textId="411E9A00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 координацію та контроль за виконанням завдань і заход</w:t>
      </w:r>
      <w:r w:rsidR="006D391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здійснює департамент енергетики,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запровадження інноваційних технологій Миколаївської міської ради.</w:t>
      </w:r>
    </w:p>
    <w:p w14:paraId="38478ABB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закінчення терміну реалізації Програми департамент енергетики, енергозбереження та запровадження інноваційних технологій Миколаївської міської ради у місячний термін готує підсумковий звіт про її виконання, подає постійній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2BA208D1" w14:textId="77777777" w:rsidR="00FD646E" w:rsidRPr="008B011A" w:rsidRDefault="00FD646E" w:rsidP="00FD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Координацію дій між учасниками (співвиконавцями) Програми та контроль за її виконанням здійснює департамент енергетики, енергозбереження та запровадження інноваційних технологій Миколаївської міської ради.</w:t>
      </w:r>
    </w:p>
    <w:p w14:paraId="02390E73" w14:textId="240D4702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81F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EC010E" w14:textId="57F96285" w:rsidR="00FD646E" w:rsidRDefault="00F81F15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__________________________________________________________</w:t>
      </w:r>
    </w:p>
    <w:p w14:paraId="35F16788" w14:textId="77777777" w:rsidR="00FD646E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1D970A" w14:textId="77777777" w:rsidR="00FD646E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380AD0" w14:textId="77777777" w:rsidR="00FD646E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039F89" w14:textId="77777777" w:rsidR="00FD646E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C19AC" w14:textId="77777777" w:rsidR="00FD646E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41993B" w14:textId="77777777" w:rsidR="00FD646E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A01353" w14:textId="77777777" w:rsidR="00FD646E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12150C" w14:textId="77777777" w:rsidR="00FD646E" w:rsidRDefault="00FD646E" w:rsidP="00FD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BE222E" w14:textId="77777777" w:rsidR="00FD646E" w:rsidRPr="008B011A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49324116" w14:textId="77777777" w:rsidR="00FD646E" w:rsidRPr="008B011A" w:rsidRDefault="00FD646E" w:rsidP="00FD646E">
      <w:pPr>
        <w:shd w:val="clear" w:color="auto" w:fill="FFFFFF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Програми </w:t>
      </w:r>
    </w:p>
    <w:p w14:paraId="27F7C4EE" w14:textId="77777777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61C3F65" w14:textId="77777777" w:rsidR="00FE1793" w:rsidRDefault="00FD646E" w:rsidP="00FD646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 ПРОГРАМИ</w:t>
      </w:r>
    </w:p>
    <w:p w14:paraId="37D25C0D" w14:textId="6387A6F0" w:rsidR="00FD646E" w:rsidRPr="008B011A" w:rsidRDefault="00FD646E" w:rsidP="00BA03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часткової компенсації вартості закупівлі електрогенераторів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934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електростанці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14:paraId="67B59FEC" w14:textId="64B8E958" w:rsidR="00FD646E" w:rsidRPr="008B011A" w:rsidRDefault="00FD646E" w:rsidP="008553E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55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E17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 затверджено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рішенням міської ради від __________ №_______</w:t>
      </w:r>
    </w:p>
    <w:p w14:paraId="3DC51194" w14:textId="77777777" w:rsidR="00FD646E" w:rsidRPr="008B011A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Ініціатор Програми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департамент житлово-комунального господарства Миколаївської міської ради.</w:t>
      </w:r>
    </w:p>
    <w:p w14:paraId="4C40235F" w14:textId="77777777" w:rsidR="00FD646E" w:rsidRPr="008B011A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Розробник Програми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департамент житлово-комунального господарства Миколаївської міської ради.</w:t>
      </w:r>
    </w:p>
    <w:p w14:paraId="5399CDB9" w14:textId="77777777" w:rsidR="00FD646E" w:rsidRPr="008B011A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Відповідальний виконавець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(головний розпорядник коштів) – департамент енергетики, енергозбереження та запровадження інноваційних технологій Миколаївської міської ради.</w:t>
      </w:r>
    </w:p>
    <w:p w14:paraId="4E7626B8" w14:textId="77777777" w:rsidR="00FD646E" w:rsidRPr="00416F55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Співвиконавці:</w:t>
      </w:r>
    </w:p>
    <w:p w14:paraId="25B84BFE" w14:textId="5DAEFA5E" w:rsidR="00FD646E" w:rsidRPr="008B011A" w:rsidRDefault="00FD646E" w:rsidP="00FD64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КУ ММР «Центр енергоефективності міста Миколаєва»;</w:t>
      </w:r>
    </w:p>
    <w:p w14:paraId="2A481F60" w14:textId="1844C302" w:rsidR="00FD646E" w:rsidRPr="008B011A" w:rsidRDefault="00FD646E" w:rsidP="00FD64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13F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б’єднання співвласників багатоквартирних будинків, управляючі компанії (управителі), виконавці житлових послуг будинків, а також ЖБК 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Миколаєва.</w:t>
      </w:r>
    </w:p>
    <w:p w14:paraId="3E1DDF0C" w14:textId="77777777" w:rsidR="008553E8" w:rsidRDefault="008553E8" w:rsidP="008553E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E86005" w14:textId="499A438A" w:rsidR="00FD646E" w:rsidRPr="008B011A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 виконання Програми</w:t>
      </w:r>
      <w:r w:rsidR="0062097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7D4908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FAF6AC" w14:textId="77777777" w:rsidR="007D4908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F55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Орієнтовані обсяги та джерела фінансування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BDAF6CF" w14:textId="2F2BF24B" w:rsidR="00FD646E" w:rsidRPr="008B011A" w:rsidRDefault="00FD646E" w:rsidP="00FD646E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фінансування: кошти, передбачені на виконання Програми, для відповідального виконавця (головного розпорядника коштів) будуть затверджені у видатках бюджету Миколаївської міської територіальної громади на відповідний рік;</w:t>
      </w:r>
    </w:p>
    <w:p w14:paraId="0B235705" w14:textId="1B7D09C6" w:rsidR="00FD646E" w:rsidRPr="008B011A" w:rsidRDefault="00FD646E" w:rsidP="008553E8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635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джерела фінансування: кошти бюджету Миколаївської міської територіальної громади, кошти Учасників Програми та інші джерела фінансування, не</w:t>
      </w:r>
      <w:r w:rsidR="003053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заборонені законодавством України.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405"/>
        <w:gridCol w:w="2260"/>
      </w:tblGrid>
      <w:tr w:rsidR="00FD646E" w:rsidRPr="008B011A" w14:paraId="0524CA09" w14:textId="77777777" w:rsidTr="007B2EFB">
        <w:trPr>
          <w:jc w:val="center"/>
        </w:trPr>
        <w:tc>
          <w:tcPr>
            <w:tcW w:w="2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E07FF" w14:textId="77777777" w:rsidR="00FD646E" w:rsidRPr="008B011A" w:rsidRDefault="00FD646E" w:rsidP="007B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Джерела фінансування</w:t>
            </w:r>
          </w:p>
        </w:tc>
        <w:tc>
          <w:tcPr>
            <w:tcW w:w="2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5AFC8" w14:textId="77777777" w:rsidR="00FD646E" w:rsidRPr="008B011A" w:rsidRDefault="00FD646E" w:rsidP="007B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 фінансування*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0565F2" w14:textId="0DD5ECA5" w:rsidR="00FD646E" w:rsidRPr="008B011A" w:rsidRDefault="00FD646E" w:rsidP="007B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 за роками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тис. грн</w:t>
            </w:r>
          </w:p>
        </w:tc>
      </w:tr>
      <w:tr w:rsidR="00FD646E" w:rsidRPr="008B011A" w14:paraId="3BD8563A" w14:textId="77777777" w:rsidTr="007B2EF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7BEE" w14:textId="77777777" w:rsidR="00FD646E" w:rsidRPr="008B011A" w:rsidRDefault="00FD646E" w:rsidP="007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504B" w14:textId="77777777" w:rsidR="00FD646E" w:rsidRPr="008B011A" w:rsidRDefault="00FD646E" w:rsidP="007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6B750BF" w14:textId="77777777" w:rsidR="00FD646E" w:rsidRPr="008B011A" w:rsidRDefault="00FD646E" w:rsidP="007B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A180D5" w14:textId="77777777" w:rsidR="00FD646E" w:rsidRPr="008B011A" w:rsidRDefault="00FD646E" w:rsidP="007B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FD646E" w:rsidRPr="008B011A" w14:paraId="0E26949E" w14:textId="77777777" w:rsidTr="0002045D">
        <w:trPr>
          <w:trHeight w:val="470"/>
          <w:jc w:val="center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C9A8" w14:textId="77777777" w:rsidR="00FD646E" w:rsidRPr="008B011A" w:rsidRDefault="00FD646E" w:rsidP="000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52307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1500,0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14D73BA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5D522E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1500,0</w:t>
            </w:r>
          </w:p>
        </w:tc>
      </w:tr>
      <w:tr w:rsidR="00FD646E" w:rsidRPr="008B011A" w14:paraId="4502D368" w14:textId="77777777" w:rsidTr="007B2EFB">
        <w:trPr>
          <w:jc w:val="center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2612" w14:textId="77777777" w:rsidR="00FD646E" w:rsidRPr="008B011A" w:rsidRDefault="00FD646E" w:rsidP="000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74FA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2D17F26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07B6F5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FD646E" w:rsidRPr="008B011A" w14:paraId="7A71E77A" w14:textId="77777777" w:rsidTr="007B2EFB">
        <w:trPr>
          <w:jc w:val="center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2708" w14:textId="77777777" w:rsidR="00FD646E" w:rsidRPr="008B011A" w:rsidRDefault="00FD646E" w:rsidP="000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Кошти Учасників Програми, інші джерела фінансування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7271C" w14:textId="77777777" w:rsidR="00FD646E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D5448C5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578811D" w14:textId="77777777" w:rsidR="00FD646E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AFDFD50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EBE6B7" w14:textId="77777777" w:rsidR="00FD646E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0FECFAC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FD646E" w:rsidRPr="008B011A" w14:paraId="697E2C78" w14:textId="77777777" w:rsidTr="007B2EFB">
        <w:trPr>
          <w:jc w:val="center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2608" w14:textId="77777777" w:rsidR="00FD646E" w:rsidRPr="008B011A" w:rsidRDefault="00FD646E" w:rsidP="000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Всього,</w:t>
            </w:r>
          </w:p>
          <w:p w14:paraId="2C2204B5" w14:textId="77777777" w:rsidR="00FD646E" w:rsidRPr="008B011A" w:rsidRDefault="00FD646E" w:rsidP="000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01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числі: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5AB6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1500,0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473D27C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5E94C6" w14:textId="77777777" w:rsidR="00FD646E" w:rsidRPr="008B011A" w:rsidRDefault="00FD646E" w:rsidP="0002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1500,0</w:t>
            </w:r>
          </w:p>
        </w:tc>
      </w:tr>
    </w:tbl>
    <w:p w14:paraId="4483A655" w14:textId="77777777" w:rsidR="00FE1793" w:rsidRDefault="00FE1793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E22E4D" w14:textId="24DCC523" w:rsidR="00FD646E" w:rsidRPr="005B7C96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*</w:t>
      </w:r>
      <w:r w:rsidR="000204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фінансування: кошти, передбачені на виконання Програми, для відповідального виконавця (головного розпорядника коштів) будуть затверджені у видатках бюджету Миколаївської міської територіальної громади на відповідний рік.</w:t>
      </w:r>
    </w:p>
    <w:p w14:paraId="0F17152B" w14:textId="0A194F47" w:rsidR="00FD646E" w:rsidRPr="008B011A" w:rsidRDefault="00286B34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_________________________________________________________</w:t>
      </w:r>
    </w:p>
    <w:p w14:paraId="0393DA42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28BBF7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BFD017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9EE8A2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4F665F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1703FB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009A3C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29D8C6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6DE9C3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ADC2C4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15CCBE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5C7276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9FDFC1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579C26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0E17A7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AE2957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4AB43" w14:textId="77777777" w:rsidR="00FD646E" w:rsidRDefault="00FD646E" w:rsidP="00FD646E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FD646E" w:rsidSect="000635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DAF175" w14:textId="77777777" w:rsidR="00FD646E" w:rsidRPr="008B011A" w:rsidRDefault="00FD646E" w:rsidP="00FD646E">
      <w:pPr>
        <w:shd w:val="clear" w:color="auto" w:fill="FFFFFF"/>
        <w:spacing w:after="0" w:line="240" w:lineRule="auto"/>
        <w:ind w:left="133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1B6DFBF9" w14:textId="77777777" w:rsidR="00FD646E" w:rsidRPr="008B011A" w:rsidRDefault="00FD646E" w:rsidP="00FD646E">
      <w:pPr>
        <w:shd w:val="clear" w:color="auto" w:fill="FFFFFF"/>
        <w:spacing w:after="0" w:line="240" w:lineRule="auto"/>
        <w:ind w:left="133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Програми</w:t>
      </w:r>
    </w:p>
    <w:p w14:paraId="65682ECF" w14:textId="77777777" w:rsidR="00FD646E" w:rsidRPr="008B011A" w:rsidRDefault="00FD646E" w:rsidP="00FD64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8D8B39B" w14:textId="77777777" w:rsidR="00FD646E" w:rsidRPr="0006357D" w:rsidRDefault="00FD646E" w:rsidP="00FD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uk-UA"/>
        </w:rPr>
      </w:pPr>
      <w:r w:rsidRPr="0006357D">
        <w:rPr>
          <w:rFonts w:ascii="Times New Roman" w:eastAsia="Times New Roman" w:hAnsi="Times New Roman" w:cs="Times New Roman"/>
          <w:spacing w:val="54"/>
          <w:sz w:val="28"/>
          <w:szCs w:val="28"/>
          <w:lang w:eastAsia="uk-UA"/>
        </w:rPr>
        <w:t>ЗАХОДИ</w:t>
      </w:r>
    </w:p>
    <w:p w14:paraId="5C6F3D8A" w14:textId="77777777" w:rsidR="00FD646E" w:rsidRDefault="00FD646E" w:rsidP="00FD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виконання Програми часткової компенсації вартості закупівлі електрогенераторів </w:t>
      </w:r>
      <w:r w:rsidRPr="00A07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портативних </w:t>
      </w:r>
    </w:p>
    <w:p w14:paraId="3298B71E" w14:textId="77777777" w:rsidR="00FD646E" w:rsidRDefault="00FD646E" w:rsidP="00FD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електростанцій 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забезпечення потреб співвласників багатоквартирних будинків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7B5C787" w14:textId="77777777" w:rsidR="00FD646E" w:rsidRDefault="00FD646E" w:rsidP="00FD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 під час проходження опалювального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14:paraId="03B4406B" w14:textId="77777777" w:rsidR="00FD646E" w:rsidRPr="005B7C96" w:rsidRDefault="00FD646E" w:rsidP="00FD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50"/>
        <w:gridCol w:w="1417"/>
        <w:gridCol w:w="2546"/>
        <w:gridCol w:w="1843"/>
        <w:gridCol w:w="1276"/>
        <w:gridCol w:w="1134"/>
        <w:gridCol w:w="2551"/>
      </w:tblGrid>
      <w:tr w:rsidR="00FD646E" w:rsidRPr="00F1663D" w14:paraId="4EA0D4FB" w14:textId="77777777" w:rsidTr="007B2EFB">
        <w:trPr>
          <w:trHeight w:val="852"/>
          <w:jc w:val="center"/>
        </w:trPr>
        <w:tc>
          <w:tcPr>
            <w:tcW w:w="562" w:type="dxa"/>
            <w:vMerge w:val="restart"/>
          </w:tcPr>
          <w:p w14:paraId="3517E917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3550" w:type="dxa"/>
            <w:vMerge w:val="restart"/>
          </w:tcPr>
          <w:p w14:paraId="7155F53D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09AE15DB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Термін виконання заходу</w:t>
            </w:r>
          </w:p>
        </w:tc>
        <w:tc>
          <w:tcPr>
            <w:tcW w:w="2546" w:type="dxa"/>
            <w:vMerge w:val="restart"/>
          </w:tcPr>
          <w:p w14:paraId="76892D39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Виконавці</w:t>
            </w:r>
          </w:p>
        </w:tc>
        <w:tc>
          <w:tcPr>
            <w:tcW w:w="4253" w:type="dxa"/>
            <w:gridSpan w:val="3"/>
          </w:tcPr>
          <w:p w14:paraId="0798EC88" w14:textId="2AF3B67F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Обсяг фінансування*, грн</w:t>
            </w:r>
          </w:p>
        </w:tc>
        <w:tc>
          <w:tcPr>
            <w:tcW w:w="2551" w:type="dxa"/>
            <w:vMerge w:val="restart"/>
          </w:tcPr>
          <w:p w14:paraId="10B6C499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FD646E" w:rsidRPr="00F1663D" w14:paraId="37307887" w14:textId="77777777" w:rsidTr="007B2EFB">
        <w:trPr>
          <w:trHeight w:val="360"/>
          <w:jc w:val="center"/>
        </w:trPr>
        <w:tc>
          <w:tcPr>
            <w:tcW w:w="562" w:type="dxa"/>
            <w:vMerge/>
          </w:tcPr>
          <w:p w14:paraId="0B179241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50" w:type="dxa"/>
            <w:vMerge/>
          </w:tcPr>
          <w:p w14:paraId="22527EC3" w14:textId="77777777" w:rsidR="00FD646E" w:rsidRPr="00F1663D" w:rsidRDefault="00FD646E" w:rsidP="007B2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1D5CCB1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546" w:type="dxa"/>
            <w:vMerge/>
          </w:tcPr>
          <w:p w14:paraId="121A7194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</w:tcPr>
          <w:p w14:paraId="1B83F4FD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Всього по Програмі</w:t>
            </w:r>
          </w:p>
        </w:tc>
        <w:tc>
          <w:tcPr>
            <w:tcW w:w="1276" w:type="dxa"/>
          </w:tcPr>
          <w:p w14:paraId="305A468F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 рік</w:t>
            </w:r>
          </w:p>
        </w:tc>
        <w:tc>
          <w:tcPr>
            <w:tcW w:w="1134" w:type="dxa"/>
          </w:tcPr>
          <w:p w14:paraId="12519BB7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рік</w:t>
            </w:r>
          </w:p>
        </w:tc>
        <w:tc>
          <w:tcPr>
            <w:tcW w:w="2551" w:type="dxa"/>
            <w:vMerge/>
          </w:tcPr>
          <w:p w14:paraId="5FCF850F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FD646E" w:rsidRPr="00F1663D" w14:paraId="5A30E447" w14:textId="77777777" w:rsidTr="007B2EFB">
        <w:trPr>
          <w:jc w:val="center"/>
        </w:trPr>
        <w:tc>
          <w:tcPr>
            <w:tcW w:w="562" w:type="dxa"/>
            <w:vMerge w:val="restart"/>
          </w:tcPr>
          <w:p w14:paraId="598C91FB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3550" w:type="dxa"/>
            <w:vMerge w:val="restart"/>
          </w:tcPr>
          <w:p w14:paraId="00C93A35" w14:textId="65BC0D7B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Часткова компенсація вартості електрогенераторів та портативних електростанцій</w:t>
            </w:r>
            <w:r w:rsidR="00D913F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закуплених після </w:t>
            </w:r>
            <w:r w:rsidRPr="000556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  <w:r w:rsidRPr="000556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для потреб мешканців багатоквартирного будинку (50% від вартості електрогенератора, але не більше 30 тис. грн</w:t>
            </w:r>
            <w:r w:rsidR="00D913F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та 50% від вартості портативної електростанції, але не більше 40 тис. грн)</w:t>
            </w:r>
            <w:r w:rsidRPr="000556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окрім тих</w:t>
            </w:r>
            <w:r w:rsidR="00D913F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  <w:r w:rsidRPr="000556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хто отримав компенсацію згідно з рішенням міської ради від 27.12.2022 № 16/3 «Про затвердження Програми </w:t>
            </w:r>
            <w:r w:rsidRPr="000556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</w:t>
            </w:r>
          </w:p>
        </w:tc>
        <w:tc>
          <w:tcPr>
            <w:tcW w:w="1417" w:type="dxa"/>
            <w:vMerge w:val="restart"/>
          </w:tcPr>
          <w:p w14:paraId="42CAA592" w14:textId="77777777" w:rsidR="00FD646E" w:rsidRPr="00F1663D" w:rsidRDefault="00FD646E" w:rsidP="000635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2024</w:t>
            </w:r>
          </w:p>
        </w:tc>
        <w:tc>
          <w:tcPr>
            <w:tcW w:w="2546" w:type="dxa"/>
            <w:vMerge w:val="restart"/>
          </w:tcPr>
          <w:p w14:paraId="733EB338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Департамент енергетики, енергозбереження та запровадження інноваційних технологій Миколаївської міської ради,</w:t>
            </w:r>
          </w:p>
          <w:p w14:paraId="476E6733" w14:textId="05C32875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КУ ММР «Центр енергоефективності міста Миколаєва», </w:t>
            </w:r>
            <w:r w:rsidR="00D913F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б’єднання співвласників багатоквартирних будинків, управляючі компанії (управителі), 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виконавці житлових послуг будинків, а також ЖБК 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Миколаєва</w:t>
            </w:r>
          </w:p>
        </w:tc>
        <w:tc>
          <w:tcPr>
            <w:tcW w:w="1843" w:type="dxa"/>
          </w:tcPr>
          <w:p w14:paraId="7179F31B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Місцевий бюджет</w:t>
            </w:r>
          </w:p>
        </w:tc>
        <w:tc>
          <w:tcPr>
            <w:tcW w:w="1276" w:type="dxa"/>
          </w:tcPr>
          <w:p w14:paraId="6E703C01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34" w:type="dxa"/>
          </w:tcPr>
          <w:p w14:paraId="62BAF377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1500,0</w:t>
            </w:r>
          </w:p>
        </w:tc>
        <w:tc>
          <w:tcPr>
            <w:tcW w:w="2551" w:type="dxa"/>
            <w:vMerge w:val="restart"/>
          </w:tcPr>
          <w:p w14:paraId="391AF4DF" w14:textId="62ACDD22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Забезпечення співвласників багатоквартирних будинків аварійним електропостачанням для уможливлення функціонування (часткове функціонування) </w:t>
            </w:r>
            <w:proofErr w:type="spellStart"/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внутрішньобудин</w:t>
            </w:r>
            <w:r w:rsidR="00D913F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кових</w:t>
            </w:r>
            <w:proofErr w:type="spellEnd"/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систем, у тому числі опалення у випадку відсутності електропостачання.</w:t>
            </w:r>
          </w:p>
        </w:tc>
      </w:tr>
      <w:tr w:rsidR="00FD646E" w:rsidRPr="00F1663D" w14:paraId="2E260107" w14:textId="77777777" w:rsidTr="007B2EFB">
        <w:trPr>
          <w:jc w:val="center"/>
        </w:trPr>
        <w:tc>
          <w:tcPr>
            <w:tcW w:w="562" w:type="dxa"/>
            <w:vMerge/>
          </w:tcPr>
          <w:p w14:paraId="20B26CC2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50" w:type="dxa"/>
            <w:vMerge/>
          </w:tcPr>
          <w:p w14:paraId="780316B4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vMerge/>
          </w:tcPr>
          <w:p w14:paraId="298AFB7E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546" w:type="dxa"/>
            <w:vMerge/>
          </w:tcPr>
          <w:p w14:paraId="53DECD3D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</w:tcPr>
          <w:p w14:paraId="25748D68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t>Державний бюджет</w:t>
            </w:r>
          </w:p>
        </w:tc>
        <w:tc>
          <w:tcPr>
            <w:tcW w:w="1276" w:type="dxa"/>
          </w:tcPr>
          <w:p w14:paraId="03618602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34" w:type="dxa"/>
          </w:tcPr>
          <w:p w14:paraId="4F5EA92E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2551" w:type="dxa"/>
            <w:vMerge/>
          </w:tcPr>
          <w:p w14:paraId="7D8D3B39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FD646E" w:rsidRPr="00F1663D" w14:paraId="447BCD31" w14:textId="77777777" w:rsidTr="007B2EFB">
        <w:trPr>
          <w:jc w:val="center"/>
        </w:trPr>
        <w:tc>
          <w:tcPr>
            <w:tcW w:w="562" w:type="dxa"/>
            <w:vMerge/>
          </w:tcPr>
          <w:p w14:paraId="0302452F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50" w:type="dxa"/>
            <w:vMerge/>
          </w:tcPr>
          <w:p w14:paraId="0924D52C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vMerge/>
          </w:tcPr>
          <w:p w14:paraId="6512BC32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546" w:type="dxa"/>
            <w:vMerge/>
          </w:tcPr>
          <w:p w14:paraId="1ACAB860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</w:tcPr>
          <w:p w14:paraId="6E100CD8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t>Кошти Учасників Програми, інші джерела фінансування</w:t>
            </w:r>
          </w:p>
        </w:tc>
        <w:tc>
          <w:tcPr>
            <w:tcW w:w="1276" w:type="dxa"/>
          </w:tcPr>
          <w:p w14:paraId="78C9AFBA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34" w:type="dxa"/>
          </w:tcPr>
          <w:p w14:paraId="6C677D1C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2551" w:type="dxa"/>
            <w:vMerge/>
          </w:tcPr>
          <w:p w14:paraId="593795D4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FD646E" w:rsidRPr="00F1663D" w14:paraId="268A0FF5" w14:textId="77777777" w:rsidTr="007B2EFB">
        <w:trPr>
          <w:trHeight w:val="972"/>
          <w:jc w:val="center"/>
        </w:trPr>
        <w:tc>
          <w:tcPr>
            <w:tcW w:w="562" w:type="dxa"/>
            <w:vMerge/>
          </w:tcPr>
          <w:p w14:paraId="5C7BAF36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50" w:type="dxa"/>
            <w:vMerge/>
          </w:tcPr>
          <w:p w14:paraId="0FFD7F5D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vMerge/>
          </w:tcPr>
          <w:p w14:paraId="0B0BD6F9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546" w:type="dxa"/>
            <w:vMerge/>
          </w:tcPr>
          <w:p w14:paraId="6042CD2C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</w:tcPr>
          <w:p w14:paraId="7DC5EC18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t>Всього,</w:t>
            </w:r>
          </w:p>
          <w:p w14:paraId="2CFF5021" w14:textId="77777777" w:rsidR="00FD646E" w:rsidRPr="00F1663D" w:rsidRDefault="00FD646E" w:rsidP="007B2E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hAnsi="Times New Roman" w:cs="Times New Roman"/>
                <w:sz w:val="26"/>
                <w:szCs w:val="26"/>
              </w:rPr>
              <w:t>у тому числі:</w:t>
            </w:r>
          </w:p>
        </w:tc>
        <w:tc>
          <w:tcPr>
            <w:tcW w:w="1276" w:type="dxa"/>
          </w:tcPr>
          <w:p w14:paraId="59B1BBC2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34" w:type="dxa"/>
          </w:tcPr>
          <w:p w14:paraId="127CDD0B" w14:textId="77777777" w:rsidR="00FD646E" w:rsidRPr="00F1663D" w:rsidRDefault="00FD646E" w:rsidP="007B2E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1663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1500,0</w:t>
            </w:r>
          </w:p>
        </w:tc>
        <w:tc>
          <w:tcPr>
            <w:tcW w:w="2551" w:type="dxa"/>
            <w:vMerge/>
          </w:tcPr>
          <w:p w14:paraId="5B38A11F" w14:textId="77777777" w:rsidR="00FD646E" w:rsidRPr="00F1663D" w:rsidRDefault="00FD646E" w:rsidP="007B2E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199300D9" w14:textId="77777777" w:rsidR="00FD646E" w:rsidRDefault="00FD646E" w:rsidP="00FD646E">
      <w:pPr>
        <w:shd w:val="clear" w:color="auto" w:fill="FFFFFF"/>
        <w:spacing w:after="36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944C51" w14:textId="77777777" w:rsidR="00FD646E" w:rsidRPr="008B011A" w:rsidRDefault="00FD646E" w:rsidP="00FD646E">
      <w:pPr>
        <w:shd w:val="clear" w:color="auto" w:fill="FFFFFF"/>
        <w:spacing w:after="36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11A">
        <w:rPr>
          <w:rFonts w:ascii="Times New Roman" w:eastAsia="Times New Roman" w:hAnsi="Times New Roman" w:cs="Times New Roman"/>
          <w:sz w:val="28"/>
          <w:szCs w:val="28"/>
          <w:lang w:eastAsia="uk-UA"/>
        </w:rPr>
        <w:t>* Обсяг фінансування: кошти, передбачені на виконання Програми, для відповідального виконавця (головного розпорядника коштів) будуть затверджені у видатках бюджету Миколаївської міської територіальної громади на відповідний рік.</w:t>
      </w:r>
    </w:p>
    <w:p w14:paraId="4F407DD7" w14:textId="77777777" w:rsidR="00FD646E" w:rsidRPr="005B7C96" w:rsidRDefault="00FD646E" w:rsidP="00FD64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2F835" w14:textId="744C5546" w:rsidR="00B94292" w:rsidRDefault="00B94292" w:rsidP="00FD646E">
      <w:pPr>
        <w:spacing w:after="0" w:line="240" w:lineRule="auto"/>
        <w:jc w:val="both"/>
      </w:pPr>
    </w:p>
    <w:sectPr w:rsidR="00B94292" w:rsidSect="007C0132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390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F"/>
    <w:rsid w:val="0002045D"/>
    <w:rsid w:val="0006357D"/>
    <w:rsid w:val="00181333"/>
    <w:rsid w:val="001841B2"/>
    <w:rsid w:val="001C2D46"/>
    <w:rsid w:val="00220F91"/>
    <w:rsid w:val="002544AD"/>
    <w:rsid w:val="00286B34"/>
    <w:rsid w:val="003020BA"/>
    <w:rsid w:val="00305358"/>
    <w:rsid w:val="00312786"/>
    <w:rsid w:val="0032133E"/>
    <w:rsid w:val="003918E0"/>
    <w:rsid w:val="00416F55"/>
    <w:rsid w:val="004B72BD"/>
    <w:rsid w:val="005217D0"/>
    <w:rsid w:val="00567D25"/>
    <w:rsid w:val="00620970"/>
    <w:rsid w:val="00685917"/>
    <w:rsid w:val="006D391A"/>
    <w:rsid w:val="007C0132"/>
    <w:rsid w:val="007D4908"/>
    <w:rsid w:val="0082394F"/>
    <w:rsid w:val="008553E8"/>
    <w:rsid w:val="00906437"/>
    <w:rsid w:val="009436A5"/>
    <w:rsid w:val="00AC488A"/>
    <w:rsid w:val="00B55D8A"/>
    <w:rsid w:val="00B876F7"/>
    <w:rsid w:val="00B94292"/>
    <w:rsid w:val="00BA036D"/>
    <w:rsid w:val="00BE1558"/>
    <w:rsid w:val="00CD6203"/>
    <w:rsid w:val="00CF2CC3"/>
    <w:rsid w:val="00D37588"/>
    <w:rsid w:val="00D50E35"/>
    <w:rsid w:val="00D913FE"/>
    <w:rsid w:val="00DA4CA1"/>
    <w:rsid w:val="00DA719D"/>
    <w:rsid w:val="00E076BB"/>
    <w:rsid w:val="00EF6607"/>
    <w:rsid w:val="00F81F15"/>
    <w:rsid w:val="00FC5B4A"/>
    <w:rsid w:val="00FD646E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BB17"/>
  <w15:chartTrackingRefBased/>
  <w15:docId w15:val="{E219CF77-BB96-4E89-A3D8-0CE16B7A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B9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B7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9980</Words>
  <Characters>5690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Наталя Смирнова</cp:lastModifiedBy>
  <cp:revision>35</cp:revision>
  <cp:lastPrinted>2023-12-06T14:05:00Z</cp:lastPrinted>
  <dcterms:created xsi:type="dcterms:W3CDTF">2023-12-06T09:55:00Z</dcterms:created>
  <dcterms:modified xsi:type="dcterms:W3CDTF">2023-12-06T14:51:00Z</dcterms:modified>
</cp:coreProperties>
</file>