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6B" w:rsidRPr="001F2931" w:rsidRDefault="00BC3B6B" w:rsidP="004F6C31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115/23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11.02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BC3B6B" w:rsidRDefault="00BC3B6B" w:rsidP="004F6C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BC3B6B" w:rsidRPr="001F2931" w:rsidRDefault="00BC3B6B" w:rsidP="004F6C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BC3B6B" w:rsidRPr="00DA321A" w:rsidRDefault="00BC3B6B" w:rsidP="004F6C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BC3B6B" w:rsidRPr="0099063B" w:rsidRDefault="00BC3B6B" w:rsidP="0099063B">
      <w:pPr>
        <w:shd w:val="clear" w:color="auto" w:fill="FFFFFF"/>
        <w:tabs>
          <w:tab w:val="left" w:pos="4680"/>
          <w:tab w:val="left" w:pos="9355"/>
        </w:tabs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99063B">
        <w:rPr>
          <w:color w:val="000000"/>
          <w:spacing w:val="-4"/>
          <w:sz w:val="24"/>
          <w:szCs w:val="24"/>
        </w:rPr>
        <w:t xml:space="preserve">Про відмову </w:t>
      </w:r>
      <w:r w:rsidRPr="0099063B">
        <w:rPr>
          <w:sz w:val="24"/>
          <w:szCs w:val="24"/>
        </w:rPr>
        <w:t>фізичній особі-підприємцю Жолудю Олександру Вікторовичу у   продовженні оренди земельної ділянки по  пр. Корабелів ріг пр. Богоявленського в Корабельному</w:t>
      </w:r>
      <w:r w:rsidRPr="0099063B">
        <w:rPr>
          <w:color w:val="000000"/>
          <w:spacing w:val="-3"/>
          <w:sz w:val="24"/>
          <w:szCs w:val="24"/>
        </w:rPr>
        <w:t xml:space="preserve"> районі  </w:t>
      </w:r>
      <w:r w:rsidRPr="0099063B">
        <w:rPr>
          <w:color w:val="000000"/>
          <w:spacing w:val="2"/>
          <w:sz w:val="24"/>
          <w:szCs w:val="24"/>
        </w:rPr>
        <w:t>м. Миколаєва</w:t>
      </w:r>
      <w:r w:rsidRPr="0099063B">
        <w:rPr>
          <w:b/>
          <w:sz w:val="24"/>
          <w:szCs w:val="24"/>
        </w:rPr>
        <w:t>»</w:t>
      </w:r>
    </w:p>
    <w:p w:rsidR="00BC3B6B" w:rsidRPr="0099063B" w:rsidRDefault="00BC3B6B" w:rsidP="0083003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9063B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BC3B6B" w:rsidRPr="0099063B" w:rsidRDefault="00BC3B6B" w:rsidP="0083003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9063B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BC3B6B" w:rsidRPr="0099063B" w:rsidRDefault="00BC3B6B" w:rsidP="0083003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9063B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BC3B6B" w:rsidRPr="0099063B" w:rsidRDefault="00BC3B6B" w:rsidP="0083003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99063B">
        <w:rPr>
          <w:rFonts w:ascii="Times New Roman" w:hAnsi="Times New Roman"/>
          <w:sz w:val="24"/>
          <w:szCs w:val="24"/>
          <w:lang w:val="uk-UA"/>
        </w:rPr>
        <w:t xml:space="preserve">Розглянувши заяву фізичної особи-підприємця Жолудя Олександра Вікторовича, дозвільну справу від 12.11.2015 номер 007983, </w:t>
      </w:r>
      <w:r w:rsidRPr="0099063B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документацію із землеустрою, матеріали інвентаризації, рекомендації </w:t>
      </w:r>
      <w:r w:rsidRPr="0099063B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 xml:space="preserve">постійної комісії міської ради </w:t>
      </w:r>
      <w:r w:rsidRPr="0099063B">
        <w:rPr>
          <w:rFonts w:ascii="Times New Roman" w:hAnsi="Times New Roman"/>
          <w:sz w:val="24"/>
          <w:szCs w:val="24"/>
          <w:lang w:val="uk-UA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9063B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>, керуючись статтями 12, 93, 141</w:t>
      </w:r>
      <w:r w:rsidRPr="0099063B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Земельного кодексу України, статтями 31, 33, 34 та абзацом четвертим розділу </w:t>
      </w:r>
      <w:r w:rsidRPr="0099063B">
        <w:rPr>
          <w:rFonts w:ascii="Times New Roman" w:hAnsi="Times New Roman"/>
          <w:color w:val="000000"/>
          <w:spacing w:val="4"/>
          <w:sz w:val="24"/>
          <w:szCs w:val="24"/>
        </w:rPr>
        <w:t>IX</w:t>
      </w:r>
      <w:r w:rsidRPr="0099063B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 «Перехідні положення» Закону </w:t>
      </w:r>
      <w:r w:rsidRPr="0099063B">
        <w:rPr>
          <w:rFonts w:ascii="Times New Roman" w:hAnsi="Times New Roman"/>
          <w:color w:val="000000"/>
          <w:sz w:val="24"/>
          <w:szCs w:val="24"/>
          <w:lang w:val="uk-UA"/>
        </w:rPr>
        <w:t>України «Про оренду землі»,</w:t>
      </w:r>
      <w:r w:rsidRPr="0099063B">
        <w:rPr>
          <w:rFonts w:ascii="Times New Roman" w:hAnsi="Times New Roman"/>
          <w:color w:val="000000"/>
          <w:spacing w:val="9"/>
          <w:sz w:val="24"/>
          <w:szCs w:val="24"/>
          <w:lang w:val="uk-UA"/>
        </w:rPr>
        <w:t xml:space="preserve"> пунктом 34 частини першої статті 26, статтею 59 Закону України «Про </w:t>
      </w:r>
      <w:r w:rsidRPr="0099063B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місцеве самоврядування в Україні»,</w:t>
      </w:r>
      <w:r w:rsidRPr="0099063B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Законом України «Про благоустрій населених пунктів»</w:t>
      </w:r>
      <w:r w:rsidRPr="0099063B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99063B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99063B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99063B">
        <w:rPr>
          <w:rFonts w:ascii="Times New Roman" w:hAnsi="Times New Roman"/>
          <w:sz w:val="24"/>
          <w:szCs w:val="24"/>
          <w:lang w:val="uk-UA"/>
        </w:rPr>
        <w:t>фізичній особі-підприємцю Жолудю Олександру Вікторовичу у   продовженні оренди земельної ділянки по  пр. Корабелів ріг пр. Богоявленського в Корабельному</w:t>
      </w:r>
      <w:r w:rsidRPr="0099063B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районі  </w:t>
      </w:r>
      <w:r w:rsidRPr="0099063B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99063B">
        <w:rPr>
          <w:rFonts w:ascii="Times New Roman" w:hAnsi="Times New Roman"/>
          <w:sz w:val="24"/>
          <w:szCs w:val="24"/>
          <w:lang w:val="uk-UA"/>
        </w:rPr>
        <w:t>».</w:t>
      </w:r>
    </w:p>
    <w:p w:rsidR="00BC3B6B" w:rsidRPr="0099063B" w:rsidRDefault="00BC3B6B" w:rsidP="0099063B">
      <w:pPr>
        <w:ind w:firstLine="540"/>
        <w:jc w:val="both"/>
        <w:rPr>
          <w:sz w:val="24"/>
          <w:szCs w:val="24"/>
        </w:rPr>
      </w:pPr>
      <w:r w:rsidRPr="0099063B">
        <w:rPr>
          <w:sz w:val="24"/>
          <w:szCs w:val="24"/>
        </w:rPr>
        <w:t>Відповідно до проєкту рішення передбачено: « Відмовити фізичній особі-підприємцю Жолудю Олександру Вікторовичу у продовженні договору оренди земельної ділянки площею 61 кв.м (кадастровий номер 4810136600:07:020:0007) від 13.03.2014 №10105 для обслуговування</w:t>
      </w:r>
      <w:r w:rsidRPr="0099063B">
        <w:rPr>
          <w:sz w:val="24"/>
          <w:szCs w:val="24"/>
          <w:shd w:val="clear" w:color="auto" w:fill="FFFFFF"/>
        </w:rPr>
        <w:t xml:space="preserve"> </w:t>
      </w:r>
      <w:r w:rsidRPr="0099063B">
        <w:rPr>
          <w:sz w:val="24"/>
          <w:szCs w:val="24"/>
        </w:rPr>
        <w:t>зупинкового комплексу з торговельним павільйоном по   пр. Корабелів ріг пр. Богоявленського в Корабельному</w:t>
      </w:r>
      <w:r w:rsidRPr="0099063B">
        <w:rPr>
          <w:color w:val="000000"/>
          <w:spacing w:val="-3"/>
          <w:sz w:val="24"/>
          <w:szCs w:val="24"/>
        </w:rPr>
        <w:t xml:space="preserve"> районі </w:t>
      </w:r>
      <w:r w:rsidRPr="0099063B">
        <w:rPr>
          <w:color w:val="000000"/>
          <w:spacing w:val="2"/>
          <w:sz w:val="24"/>
          <w:szCs w:val="24"/>
        </w:rPr>
        <w:t>м. Миколаєва (незабудована земельна ділянка)</w:t>
      </w:r>
      <w:r w:rsidRPr="0099063B">
        <w:rPr>
          <w:sz w:val="24"/>
          <w:szCs w:val="24"/>
        </w:rPr>
        <w:t>.</w:t>
      </w:r>
    </w:p>
    <w:p w:rsidR="00BC3B6B" w:rsidRPr="0099063B" w:rsidRDefault="00BC3B6B" w:rsidP="0099063B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99063B">
        <w:rPr>
          <w:rFonts w:ascii="Times New Roman" w:hAnsi="Times New Roman"/>
          <w:sz w:val="24"/>
          <w:szCs w:val="24"/>
        </w:rPr>
        <w:t>1.1. Договір оренди землі, який зареєстрований в книзі записів договорів  оренди землі від 13.03.2014 №10105, визнати припиненим.</w:t>
      </w:r>
    </w:p>
    <w:p w:rsidR="00BC3B6B" w:rsidRPr="0099063B" w:rsidRDefault="00BC3B6B" w:rsidP="0099063B">
      <w:pPr>
        <w:shd w:val="clear" w:color="auto" w:fill="FFFFFF"/>
        <w:ind w:right="-25"/>
        <w:jc w:val="both"/>
        <w:rPr>
          <w:b/>
          <w:sz w:val="24"/>
          <w:szCs w:val="24"/>
        </w:rPr>
      </w:pPr>
      <w:r w:rsidRPr="0099063B">
        <w:rPr>
          <w:sz w:val="24"/>
          <w:szCs w:val="24"/>
        </w:rPr>
        <w:t xml:space="preserve">Підстава: порушення  статті 33 </w:t>
      </w:r>
      <w:r w:rsidRPr="0099063B">
        <w:rPr>
          <w:color w:val="000000"/>
          <w:spacing w:val="4"/>
          <w:sz w:val="24"/>
          <w:szCs w:val="24"/>
        </w:rPr>
        <w:t xml:space="preserve">Закону </w:t>
      </w:r>
      <w:r w:rsidRPr="0099063B">
        <w:rPr>
          <w:color w:val="000000"/>
          <w:sz w:val="24"/>
          <w:szCs w:val="24"/>
        </w:rPr>
        <w:t>України «Про оренду землі»,</w:t>
      </w:r>
      <w:r w:rsidRPr="0099063B">
        <w:rPr>
          <w:sz w:val="24"/>
          <w:szCs w:val="24"/>
        </w:rPr>
        <w:t xml:space="preserve"> невідповідність діючим нормам, а саме: п.5.4.12 ДБН В 2.3-5:2018 «Вулиці та дороги населених пунктів», а також  ГБН В.2.3-37641918-550:2018 «Зупинки маршрутного транспорту»,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квитків, відповідно до висновку департаменту архітектури та містобудування Миколаївської міської ради від 27.10.2021 №45277/12.01-24/21-2.</w:t>
      </w:r>
    </w:p>
    <w:p w:rsidR="00BC3B6B" w:rsidRPr="0099063B" w:rsidRDefault="00BC3B6B" w:rsidP="0099063B">
      <w:pPr>
        <w:ind w:firstLine="540"/>
        <w:jc w:val="both"/>
        <w:rPr>
          <w:sz w:val="24"/>
          <w:szCs w:val="24"/>
        </w:rPr>
      </w:pPr>
      <w:r w:rsidRPr="0099063B">
        <w:rPr>
          <w:sz w:val="24"/>
          <w:szCs w:val="24"/>
        </w:rPr>
        <w:t xml:space="preserve">1.2. Зобов’язати фізичну особу-підприємця Жолудя Олександра Вікторовича повернути   територіальній  громаді міста Миколаєва земельну ділянку, зазначену у пункті 1 вказаного рішення, на умовах, визначених договором. </w:t>
      </w:r>
    </w:p>
    <w:p w:rsidR="00BC3B6B" w:rsidRPr="0099063B" w:rsidRDefault="00BC3B6B" w:rsidP="0099063B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99063B">
        <w:rPr>
          <w:rFonts w:ascii="Times New Roman" w:hAnsi="Times New Roman"/>
          <w:sz w:val="24"/>
          <w:szCs w:val="24"/>
          <w:lang w:val="uk-UA"/>
        </w:rPr>
        <w:t>1.3. Управлінню земельних ресурсів Миколаївської міської ради  проінформувати фізичну особу-підприємця Жолудя Олександра Вікторовича  про  прийняття  цього  рішення».</w:t>
      </w:r>
    </w:p>
    <w:p w:rsidR="00BC3B6B" w:rsidRPr="001F2931" w:rsidRDefault="00BC3B6B" w:rsidP="004F6C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E2391B">
        <w:rPr>
          <w:szCs w:val="24"/>
        </w:rPr>
        <w:t>Контроль  за  виконанням  даного  рішення  покладено на постійну</w:t>
      </w:r>
      <w:r w:rsidRPr="00F76072">
        <w:rPr>
          <w:szCs w:val="24"/>
        </w:rPr>
        <w:t xml:space="preserve">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BC3B6B" w:rsidRPr="001F2931" w:rsidRDefault="00BC3B6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BC3B6B" w:rsidRPr="001F2931" w:rsidRDefault="00BC3B6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C3B6B" w:rsidRPr="001F2931" w:rsidRDefault="00BC3B6B" w:rsidP="001F2931">
      <w:pPr>
        <w:rPr>
          <w:sz w:val="24"/>
          <w:szCs w:val="24"/>
        </w:rPr>
      </w:pPr>
    </w:p>
    <w:p w:rsidR="00BC3B6B" w:rsidRDefault="00BC3B6B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BC3B6B" w:rsidRPr="001F2931" w:rsidRDefault="00BC3B6B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BC3B6B" w:rsidRPr="001F2931" w:rsidSect="004F6C31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D467B"/>
    <w:rsid w:val="001E72A4"/>
    <w:rsid w:val="001F1DE5"/>
    <w:rsid w:val="001F2931"/>
    <w:rsid w:val="00246525"/>
    <w:rsid w:val="00312039"/>
    <w:rsid w:val="0032772E"/>
    <w:rsid w:val="00336376"/>
    <w:rsid w:val="0033749C"/>
    <w:rsid w:val="003524FF"/>
    <w:rsid w:val="003772C7"/>
    <w:rsid w:val="00386357"/>
    <w:rsid w:val="003F2D31"/>
    <w:rsid w:val="003F384C"/>
    <w:rsid w:val="00410006"/>
    <w:rsid w:val="0042372D"/>
    <w:rsid w:val="0043137E"/>
    <w:rsid w:val="00433395"/>
    <w:rsid w:val="004B0123"/>
    <w:rsid w:val="004B28A9"/>
    <w:rsid w:val="004B4011"/>
    <w:rsid w:val="004E06CF"/>
    <w:rsid w:val="004F6C31"/>
    <w:rsid w:val="005511F9"/>
    <w:rsid w:val="005715BA"/>
    <w:rsid w:val="00591DB6"/>
    <w:rsid w:val="005A4E9A"/>
    <w:rsid w:val="005C7C94"/>
    <w:rsid w:val="005F2614"/>
    <w:rsid w:val="00603BED"/>
    <w:rsid w:val="0062634E"/>
    <w:rsid w:val="00631662"/>
    <w:rsid w:val="00662182"/>
    <w:rsid w:val="00665171"/>
    <w:rsid w:val="006707B3"/>
    <w:rsid w:val="006851C8"/>
    <w:rsid w:val="00685679"/>
    <w:rsid w:val="006B5F00"/>
    <w:rsid w:val="006C1C58"/>
    <w:rsid w:val="006C5DAA"/>
    <w:rsid w:val="006F0AAB"/>
    <w:rsid w:val="00711558"/>
    <w:rsid w:val="007115B3"/>
    <w:rsid w:val="007125C9"/>
    <w:rsid w:val="00721C14"/>
    <w:rsid w:val="007301A7"/>
    <w:rsid w:val="007528CA"/>
    <w:rsid w:val="007854A1"/>
    <w:rsid w:val="007A00C7"/>
    <w:rsid w:val="007C1D41"/>
    <w:rsid w:val="00800A63"/>
    <w:rsid w:val="00823F77"/>
    <w:rsid w:val="0082524E"/>
    <w:rsid w:val="00825728"/>
    <w:rsid w:val="008264C6"/>
    <w:rsid w:val="00830033"/>
    <w:rsid w:val="0083153E"/>
    <w:rsid w:val="00864F82"/>
    <w:rsid w:val="00866B60"/>
    <w:rsid w:val="008870ED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8672B"/>
    <w:rsid w:val="0099063B"/>
    <w:rsid w:val="009A0C86"/>
    <w:rsid w:val="009B7841"/>
    <w:rsid w:val="009C0E9C"/>
    <w:rsid w:val="009E36CA"/>
    <w:rsid w:val="009E49EC"/>
    <w:rsid w:val="00A02E9A"/>
    <w:rsid w:val="00A05CBC"/>
    <w:rsid w:val="00A24108"/>
    <w:rsid w:val="00A26336"/>
    <w:rsid w:val="00A466E9"/>
    <w:rsid w:val="00A47690"/>
    <w:rsid w:val="00A97A5E"/>
    <w:rsid w:val="00AA05A3"/>
    <w:rsid w:val="00AA093A"/>
    <w:rsid w:val="00AA2F0B"/>
    <w:rsid w:val="00AC0D2A"/>
    <w:rsid w:val="00AC20A4"/>
    <w:rsid w:val="00AC57A8"/>
    <w:rsid w:val="00AE3B79"/>
    <w:rsid w:val="00AE50A2"/>
    <w:rsid w:val="00AF673C"/>
    <w:rsid w:val="00B10B21"/>
    <w:rsid w:val="00B26E76"/>
    <w:rsid w:val="00B312FB"/>
    <w:rsid w:val="00B362BA"/>
    <w:rsid w:val="00B61A58"/>
    <w:rsid w:val="00B7037C"/>
    <w:rsid w:val="00B90016"/>
    <w:rsid w:val="00BA129F"/>
    <w:rsid w:val="00BA17ED"/>
    <w:rsid w:val="00BC3B6B"/>
    <w:rsid w:val="00BD7CAF"/>
    <w:rsid w:val="00C061F8"/>
    <w:rsid w:val="00C26948"/>
    <w:rsid w:val="00C8133D"/>
    <w:rsid w:val="00C96CF7"/>
    <w:rsid w:val="00CC182C"/>
    <w:rsid w:val="00CC1DD7"/>
    <w:rsid w:val="00CC5669"/>
    <w:rsid w:val="00D05B4B"/>
    <w:rsid w:val="00D4650F"/>
    <w:rsid w:val="00D9617E"/>
    <w:rsid w:val="00DA321A"/>
    <w:rsid w:val="00DB2396"/>
    <w:rsid w:val="00DB4A58"/>
    <w:rsid w:val="00DD1882"/>
    <w:rsid w:val="00DD5BA9"/>
    <w:rsid w:val="00E2391B"/>
    <w:rsid w:val="00E4374F"/>
    <w:rsid w:val="00E6246A"/>
    <w:rsid w:val="00E67164"/>
    <w:rsid w:val="00E75DE3"/>
    <w:rsid w:val="00E8188A"/>
    <w:rsid w:val="00E91BFC"/>
    <w:rsid w:val="00EA7FEC"/>
    <w:rsid w:val="00EB517C"/>
    <w:rsid w:val="00EC658D"/>
    <w:rsid w:val="00ED264D"/>
    <w:rsid w:val="00EE6771"/>
    <w:rsid w:val="00EF159E"/>
    <w:rsid w:val="00F01914"/>
    <w:rsid w:val="00F15EEF"/>
    <w:rsid w:val="00F247F8"/>
    <w:rsid w:val="00F53860"/>
    <w:rsid w:val="00F6093E"/>
    <w:rsid w:val="00F63363"/>
    <w:rsid w:val="00F6567D"/>
    <w:rsid w:val="00F670A3"/>
    <w:rsid w:val="00F76072"/>
    <w:rsid w:val="00F9251C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679</Words>
  <Characters>3873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user507c</cp:lastModifiedBy>
  <cp:revision>37</cp:revision>
  <cp:lastPrinted>2022-02-11T14:12:00Z</cp:lastPrinted>
  <dcterms:created xsi:type="dcterms:W3CDTF">2021-09-16T07:44:00Z</dcterms:created>
  <dcterms:modified xsi:type="dcterms:W3CDTF">2022-02-11T14:16:00Z</dcterms:modified>
</cp:coreProperties>
</file>