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79F6" w14:textId="058982E0" w:rsidR="001A0412" w:rsidRPr="001E00B7" w:rsidRDefault="001A0412" w:rsidP="00D70DF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1E0676">
        <w:rPr>
          <w:sz w:val="20"/>
          <w:szCs w:val="20"/>
        </w:rPr>
        <w:t>s-</w:t>
      </w:r>
      <w:proofErr w:type="spellStart"/>
      <w:r w:rsidRPr="001E0676">
        <w:rPr>
          <w:sz w:val="20"/>
          <w:szCs w:val="20"/>
        </w:rPr>
        <w:t>dj</w:t>
      </w:r>
      <w:proofErr w:type="spellEnd"/>
      <w:r w:rsidRPr="001E0676">
        <w:rPr>
          <w:sz w:val="20"/>
          <w:szCs w:val="20"/>
        </w:rPr>
        <w:t>-</w:t>
      </w:r>
      <w:r w:rsidR="00DC094F" w:rsidRPr="001E0676">
        <w:rPr>
          <w:sz w:val="20"/>
          <w:szCs w:val="20"/>
          <w:lang w:val="ru-RU"/>
        </w:rPr>
        <w:t>1</w:t>
      </w:r>
      <w:r w:rsidR="00FC4B85" w:rsidRPr="001E0676">
        <w:rPr>
          <w:sz w:val="20"/>
          <w:szCs w:val="20"/>
          <w:lang w:val="ru-RU"/>
        </w:rPr>
        <w:t>25</w:t>
      </w:r>
    </w:p>
    <w:p w14:paraId="0CB49595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06DB25FC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204CF882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43E66366" w14:textId="77777777" w:rsidR="001A0412" w:rsidRPr="00996D24" w:rsidRDefault="001A0412" w:rsidP="00D70DFA">
      <w:pPr>
        <w:jc w:val="both"/>
        <w:rPr>
          <w:rFonts w:eastAsiaTheme="minorHAnsi"/>
          <w:sz w:val="28"/>
          <w:szCs w:val="28"/>
        </w:rPr>
      </w:pPr>
    </w:p>
    <w:p w14:paraId="78802787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67796053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36713AC7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30E8A9FA" w14:textId="77777777" w:rsidR="001A0412" w:rsidRPr="00FA38F8" w:rsidRDefault="001A0412" w:rsidP="00D70DFA">
      <w:pPr>
        <w:jc w:val="both"/>
        <w:rPr>
          <w:sz w:val="32"/>
          <w:szCs w:val="32"/>
        </w:rPr>
      </w:pPr>
    </w:p>
    <w:p w14:paraId="68CDB2CF" w14:textId="071333F5" w:rsidR="001A0412" w:rsidRPr="00996D24" w:rsidRDefault="001A0412" w:rsidP="00996D24">
      <w:pPr>
        <w:ind w:right="5810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Про надання згоди на списання основних засобів</w:t>
      </w:r>
    </w:p>
    <w:p w14:paraId="3651AAF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6193BB8" w14:textId="77777777" w:rsidR="001A0412" w:rsidRPr="00996D24" w:rsidRDefault="001A0412" w:rsidP="00D70DFA">
      <w:pPr>
        <w:jc w:val="both"/>
        <w:rPr>
          <w:sz w:val="28"/>
          <w:szCs w:val="28"/>
        </w:rPr>
      </w:pPr>
    </w:p>
    <w:p w14:paraId="4114E832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 Україні», міська рада</w:t>
      </w:r>
    </w:p>
    <w:p w14:paraId="5A1CA4CC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17EB0FC3" w14:textId="77777777" w:rsidR="001A0412" w:rsidRPr="00996D24" w:rsidRDefault="001A0412" w:rsidP="00D70DFA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ВИРІШИЛА:</w:t>
      </w:r>
    </w:p>
    <w:p w14:paraId="2FC863AA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35A43099" w14:textId="59D33821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1. Надати згоду обласному комунальному підприємству «Миколаївоблтеплоенерго» (код ЄДРПОУ 31319242) на списання основних засобів</w:t>
      </w:r>
      <w:r w:rsidR="009C7A5A">
        <w:rPr>
          <w:sz w:val="28"/>
          <w:szCs w:val="28"/>
        </w:rPr>
        <w:t>,</w:t>
      </w:r>
      <w:r w:rsidR="00AB09BA">
        <w:rPr>
          <w:sz w:val="28"/>
          <w:szCs w:val="28"/>
        </w:rPr>
        <w:t xml:space="preserve"> </w:t>
      </w:r>
      <w:r w:rsidRPr="00996D24">
        <w:rPr>
          <w:sz w:val="28"/>
          <w:szCs w:val="28"/>
        </w:rPr>
        <w:t xml:space="preserve">які </w:t>
      </w:r>
      <w:r w:rsidR="00AB09BA">
        <w:rPr>
          <w:sz w:val="28"/>
          <w:szCs w:val="28"/>
        </w:rPr>
        <w:t>п</w:t>
      </w:r>
      <w:r w:rsidRPr="00996D24">
        <w:rPr>
          <w:sz w:val="28"/>
          <w:szCs w:val="28"/>
        </w:rPr>
        <w:t xml:space="preserve">еребувають </w:t>
      </w:r>
      <w:r w:rsidR="006C64B6">
        <w:rPr>
          <w:sz w:val="28"/>
          <w:szCs w:val="28"/>
        </w:rPr>
        <w:t>у</w:t>
      </w:r>
      <w:r w:rsidRPr="00996D24">
        <w:rPr>
          <w:sz w:val="28"/>
          <w:szCs w:val="28"/>
        </w:rPr>
        <w:t xml:space="preserve"> господарському віданні підприємства</w:t>
      </w:r>
      <w:r w:rsidR="003B1C61">
        <w:rPr>
          <w:sz w:val="28"/>
          <w:szCs w:val="28"/>
        </w:rPr>
        <w:t xml:space="preserve">, </w:t>
      </w:r>
      <w:r w:rsidRPr="00AB09BA">
        <w:rPr>
          <w:sz w:val="28"/>
          <w:szCs w:val="28"/>
        </w:rPr>
        <w:t>згідно з додатком.</w:t>
      </w:r>
    </w:p>
    <w:p w14:paraId="76E92E2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6A9B8BF1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2. Обласному комунальному підприємству «Миколаївоблтеплоенерго» (код ЄДРПОУ 31319242) (</w:t>
      </w:r>
      <w:proofErr w:type="spellStart"/>
      <w:r w:rsidRPr="00996D24">
        <w:rPr>
          <w:sz w:val="28"/>
          <w:szCs w:val="28"/>
        </w:rPr>
        <w:t>Логвінову</w:t>
      </w:r>
      <w:proofErr w:type="spellEnd"/>
      <w:r w:rsidRPr="00996D24">
        <w:rPr>
          <w:sz w:val="28"/>
          <w:szCs w:val="28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6C54826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</w:p>
    <w:p w14:paraId="011A9750" w14:textId="77777777" w:rsidR="001A0412" w:rsidRPr="00996D24" w:rsidRDefault="001A0412" w:rsidP="00D70DFA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996D24">
        <w:rPr>
          <w:sz w:val="28"/>
          <w:szCs w:val="28"/>
        </w:rPr>
        <w:t>діджиталізації</w:t>
      </w:r>
      <w:proofErr w:type="spellEnd"/>
      <w:r w:rsidRPr="00996D24">
        <w:rPr>
          <w:sz w:val="28"/>
          <w:szCs w:val="28"/>
        </w:rPr>
        <w:t xml:space="preserve"> (Іванова), заступника міського голови Андрієнка Ю.Г.</w:t>
      </w:r>
    </w:p>
    <w:p w14:paraId="742B840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4758BBD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C7EACB2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9ED5815" w14:textId="0B7A0C2D" w:rsidR="009F7526" w:rsidRDefault="001A0412" w:rsidP="00996D24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Міський голова</w:t>
      </w:r>
      <w:r w:rsidR="00D70DFA">
        <w:rPr>
          <w:sz w:val="28"/>
          <w:szCs w:val="28"/>
        </w:rPr>
        <w:t xml:space="preserve">                                                                            </w:t>
      </w:r>
      <w:r w:rsidRPr="00996D24">
        <w:rPr>
          <w:sz w:val="28"/>
          <w:szCs w:val="28"/>
        </w:rPr>
        <w:t xml:space="preserve">  </w:t>
      </w:r>
      <w:r w:rsidR="00996D24">
        <w:rPr>
          <w:sz w:val="28"/>
          <w:szCs w:val="28"/>
        </w:rPr>
        <w:t xml:space="preserve">      </w:t>
      </w:r>
      <w:r w:rsidRPr="00996D24">
        <w:rPr>
          <w:sz w:val="28"/>
          <w:szCs w:val="28"/>
        </w:rPr>
        <w:t>О. СЄНКЕВИЧ</w:t>
      </w:r>
    </w:p>
    <w:p w14:paraId="21591BE3" w14:textId="77777777" w:rsidR="001A0412" w:rsidRDefault="001A0412"/>
    <w:p w14:paraId="728F897C" w14:textId="77777777" w:rsidR="001A0412" w:rsidRDefault="001A0412">
      <w:pPr>
        <w:sectPr w:rsidR="001A0412" w:rsidSect="00D70DFA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9A58D4" w14:textId="77777777" w:rsidR="001A0412" w:rsidRPr="001A0412" w:rsidRDefault="001A0412" w:rsidP="00996D24">
      <w:pPr>
        <w:widowControl/>
        <w:shd w:val="clear" w:color="auto" w:fill="FFFFFF"/>
        <w:tabs>
          <w:tab w:val="left" w:pos="4185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lastRenderedPageBreak/>
        <w:t>Додаток</w:t>
      </w:r>
    </w:p>
    <w:p w14:paraId="474E7D61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до рішення міської ради</w:t>
      </w:r>
    </w:p>
    <w:p w14:paraId="292CCD34" w14:textId="0FC4ED0A" w:rsidR="001A0412" w:rsidRPr="001A0412" w:rsidRDefault="001A0412" w:rsidP="00996D24">
      <w:pPr>
        <w:widowControl/>
        <w:shd w:val="clear" w:color="auto" w:fill="FFFFFF"/>
        <w:tabs>
          <w:tab w:val="left" w:pos="6210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від</w:t>
      </w:r>
      <w:r w:rsidR="00D70DFA">
        <w:rPr>
          <w:sz w:val="28"/>
          <w:szCs w:val="28"/>
          <w:lang w:eastAsia="ru-RU"/>
        </w:rPr>
        <w:t xml:space="preserve"> __</w:t>
      </w:r>
      <w:r w:rsidRPr="001A0412">
        <w:rPr>
          <w:sz w:val="28"/>
          <w:szCs w:val="28"/>
          <w:lang w:eastAsia="ru-RU"/>
        </w:rPr>
        <w:t>_______________________</w:t>
      </w:r>
    </w:p>
    <w:p w14:paraId="36C90B00" w14:textId="2001D5F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№</w:t>
      </w:r>
      <w:r w:rsidR="00D70DFA">
        <w:rPr>
          <w:sz w:val="28"/>
          <w:szCs w:val="28"/>
          <w:lang w:eastAsia="ru-RU"/>
        </w:rPr>
        <w:t xml:space="preserve">  </w:t>
      </w:r>
      <w:r w:rsidRPr="001A0412">
        <w:rPr>
          <w:sz w:val="28"/>
          <w:szCs w:val="28"/>
          <w:lang w:eastAsia="ru-RU"/>
        </w:rPr>
        <w:t>_</w:t>
      </w:r>
      <w:r w:rsidR="00D70DFA">
        <w:rPr>
          <w:sz w:val="28"/>
          <w:szCs w:val="28"/>
          <w:lang w:eastAsia="ru-RU"/>
        </w:rPr>
        <w:t>__</w:t>
      </w:r>
      <w:r w:rsidRPr="001A0412">
        <w:rPr>
          <w:sz w:val="28"/>
          <w:szCs w:val="28"/>
          <w:lang w:eastAsia="ru-RU"/>
        </w:rPr>
        <w:t>______________________</w:t>
      </w:r>
    </w:p>
    <w:p w14:paraId="59B7C0F0" w14:textId="4BE4A988" w:rsidR="001A0412" w:rsidRDefault="001A0412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tbl>
      <w:tblPr>
        <w:tblW w:w="15877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80"/>
        <w:gridCol w:w="1418"/>
        <w:gridCol w:w="1276"/>
        <w:gridCol w:w="1417"/>
        <w:gridCol w:w="982"/>
        <w:gridCol w:w="1564"/>
        <w:gridCol w:w="854"/>
        <w:gridCol w:w="1561"/>
        <w:gridCol w:w="1701"/>
        <w:gridCol w:w="1560"/>
      </w:tblGrid>
      <w:tr w:rsidR="001A0412" w:rsidRPr="001A0412" w14:paraId="10B99471" w14:textId="77777777" w:rsidTr="00FA38F8">
        <w:trPr>
          <w:trHeight w:val="367"/>
          <w:tblCellSpacing w:w="0" w:type="dxa"/>
        </w:trPr>
        <w:tc>
          <w:tcPr>
            <w:tcW w:w="564" w:type="dxa"/>
            <w:vMerge w:val="restart"/>
            <w:vAlign w:val="center"/>
            <w:hideMark/>
          </w:tcPr>
          <w:p w14:paraId="79718B07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2980" w:type="dxa"/>
            <w:vMerge w:val="restart"/>
            <w:textDirection w:val="btLr"/>
            <w:vAlign w:val="center"/>
            <w:hideMark/>
          </w:tcPr>
          <w:p w14:paraId="13EF9590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Найменування об’єкта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14:paraId="69497F44" w14:textId="77777777" w:rsidR="001A0412" w:rsidRPr="00E14FE9" w:rsidRDefault="001A0412" w:rsidP="00D70DFA">
            <w:pPr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Рік випуску та дата введення</w:t>
            </w:r>
          </w:p>
          <w:p w14:paraId="43A43842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до експлуатації</w:t>
            </w:r>
          </w:p>
        </w:tc>
        <w:tc>
          <w:tcPr>
            <w:tcW w:w="3675" w:type="dxa"/>
            <w:gridSpan w:val="3"/>
            <w:vAlign w:val="center"/>
            <w:hideMark/>
          </w:tcPr>
          <w:p w14:paraId="0E0F0CAD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Номер об’єкта</w:t>
            </w:r>
          </w:p>
        </w:tc>
        <w:tc>
          <w:tcPr>
            <w:tcW w:w="1564" w:type="dxa"/>
            <w:vMerge w:val="restart"/>
            <w:textDirection w:val="btLr"/>
            <w:vAlign w:val="center"/>
            <w:hideMark/>
          </w:tcPr>
          <w:p w14:paraId="7266145F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854" w:type="dxa"/>
            <w:vMerge w:val="restart"/>
            <w:textDirection w:val="btLr"/>
            <w:vAlign w:val="center"/>
            <w:hideMark/>
          </w:tcPr>
          <w:p w14:paraId="5128844F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 здійснених капітальних інвестицій, грн</w:t>
            </w:r>
          </w:p>
        </w:tc>
        <w:tc>
          <w:tcPr>
            <w:tcW w:w="1561" w:type="dxa"/>
            <w:vMerge w:val="restart"/>
            <w:textDirection w:val="btLr"/>
            <w:vAlign w:val="center"/>
            <w:hideMark/>
          </w:tcPr>
          <w:p w14:paraId="1A68B806" w14:textId="77777777" w:rsidR="001A0412" w:rsidRPr="00E14FE9" w:rsidRDefault="001A0412" w:rsidP="00D70DFA">
            <w:pPr>
              <w:ind w:left="-57" w:right="-57" w:hanging="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Первісна (переоцінена)</w:t>
            </w:r>
          </w:p>
          <w:p w14:paraId="3E68722E" w14:textId="77777777" w:rsidR="001A0412" w:rsidRPr="00E14FE9" w:rsidRDefault="001A0412" w:rsidP="00D70DFA">
            <w:pPr>
              <w:ind w:left="-57" w:right="-57" w:hanging="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вартість, грн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14:paraId="47F12ACC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Сума нарахованого зносу, грн</w:t>
            </w:r>
          </w:p>
        </w:tc>
        <w:tc>
          <w:tcPr>
            <w:tcW w:w="1560" w:type="dxa"/>
            <w:vMerge w:val="restart"/>
            <w:textDirection w:val="btLr"/>
            <w:vAlign w:val="center"/>
            <w:hideMark/>
          </w:tcPr>
          <w:p w14:paraId="0A03B705" w14:textId="77777777" w:rsidR="001A0412" w:rsidRPr="00E14FE9" w:rsidRDefault="001A0412" w:rsidP="00D70DFA">
            <w:pPr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Балансова (залишкова)</w:t>
            </w:r>
          </w:p>
          <w:p w14:paraId="4B90E54D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вартість, грн</w:t>
            </w:r>
          </w:p>
        </w:tc>
      </w:tr>
      <w:tr w:rsidR="001A0412" w:rsidRPr="001A0412" w14:paraId="234A9E3A" w14:textId="77777777" w:rsidTr="00FA38F8">
        <w:trPr>
          <w:cantSplit/>
          <w:trHeight w:val="3897"/>
          <w:tblCellSpacing w:w="0" w:type="dxa"/>
        </w:trPr>
        <w:tc>
          <w:tcPr>
            <w:tcW w:w="564" w:type="dxa"/>
            <w:vMerge/>
            <w:vAlign w:val="center"/>
            <w:hideMark/>
          </w:tcPr>
          <w:p w14:paraId="3A8061E2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6A37E2BB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D0212A5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14:paraId="539247AA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інвентарний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14:paraId="2DD42B30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заводський</w:t>
            </w:r>
          </w:p>
        </w:tc>
        <w:tc>
          <w:tcPr>
            <w:tcW w:w="982" w:type="dxa"/>
            <w:textDirection w:val="btLr"/>
            <w:vAlign w:val="center"/>
            <w:hideMark/>
          </w:tcPr>
          <w:p w14:paraId="3F898F87" w14:textId="77777777" w:rsidR="001A0412" w:rsidRPr="00E14FE9" w:rsidRDefault="001A0412" w:rsidP="00D70DFA">
            <w:pPr>
              <w:spacing w:line="360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паспортний</w:t>
            </w:r>
          </w:p>
        </w:tc>
        <w:tc>
          <w:tcPr>
            <w:tcW w:w="1564" w:type="dxa"/>
            <w:vMerge/>
            <w:vAlign w:val="center"/>
            <w:hideMark/>
          </w:tcPr>
          <w:p w14:paraId="1B5405A3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0168FEA8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3FE2E9A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4E8CEF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817AA4" w14:textId="77777777" w:rsidR="001A0412" w:rsidRPr="00E14FE9" w:rsidRDefault="001A0412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</w:tr>
      <w:tr w:rsidR="00E951E0" w:rsidRPr="001A0412" w14:paraId="5ABFE7CC" w14:textId="77777777" w:rsidTr="00FA38F8">
        <w:trPr>
          <w:tblCellSpacing w:w="0" w:type="dxa"/>
        </w:trPr>
        <w:tc>
          <w:tcPr>
            <w:tcW w:w="15877" w:type="dxa"/>
            <w:gridSpan w:val="11"/>
            <w:vAlign w:val="center"/>
          </w:tcPr>
          <w:p w14:paraId="70A08FF7" w14:textId="7D8E514D" w:rsidR="00E951E0" w:rsidRPr="00FA38F8" w:rsidRDefault="00E951E0" w:rsidP="00E951E0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FA38F8">
              <w:rPr>
                <w:sz w:val="27"/>
                <w:szCs w:val="27"/>
                <w:lang w:eastAsia="ru-RU"/>
              </w:rPr>
              <w:t xml:space="preserve">Адреса: вул. </w:t>
            </w:r>
            <w:proofErr w:type="spellStart"/>
            <w:r w:rsidRPr="00FA38F8">
              <w:rPr>
                <w:sz w:val="27"/>
                <w:szCs w:val="27"/>
                <w:lang w:eastAsia="ru-RU"/>
              </w:rPr>
              <w:t>Новозаводська</w:t>
            </w:r>
            <w:proofErr w:type="spellEnd"/>
            <w:r w:rsidRPr="00FA38F8">
              <w:rPr>
                <w:sz w:val="27"/>
                <w:szCs w:val="27"/>
                <w:lang w:eastAsia="ru-RU"/>
              </w:rPr>
              <w:t>,</w:t>
            </w:r>
            <w:r w:rsidR="004F6038">
              <w:rPr>
                <w:sz w:val="27"/>
                <w:szCs w:val="27"/>
                <w:lang w:eastAsia="ru-RU"/>
              </w:rPr>
              <w:t> </w:t>
            </w:r>
            <w:r w:rsidRPr="00FA38F8">
              <w:rPr>
                <w:sz w:val="27"/>
                <w:szCs w:val="27"/>
                <w:lang w:eastAsia="ru-RU"/>
              </w:rPr>
              <w:t>48</w:t>
            </w:r>
          </w:p>
        </w:tc>
      </w:tr>
      <w:tr w:rsidR="001A0412" w:rsidRPr="001A0412" w14:paraId="5BD67D94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00A4D6D7" w14:textId="7CEBCFD9" w:rsidR="001A0412" w:rsidRPr="00E14FE9" w:rsidRDefault="001A0412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1</w:t>
            </w:r>
            <w:r w:rsidR="00E14FE9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35E9FD0E" w14:textId="2D30FA3E" w:rsidR="001A0412" w:rsidRPr="00600589" w:rsidRDefault="00FC4B85" w:rsidP="00144698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Резервуар</w:t>
            </w:r>
            <w:r w:rsidR="009F225D">
              <w:rPr>
                <w:sz w:val="27"/>
                <w:szCs w:val="27"/>
                <w:lang w:eastAsia="ru-RU"/>
              </w:rPr>
              <w:t xml:space="preserve"> для мазут</w:t>
            </w:r>
            <w:r w:rsidR="006C64B6">
              <w:rPr>
                <w:sz w:val="27"/>
                <w:szCs w:val="27"/>
                <w:lang w:eastAsia="ru-RU"/>
              </w:rPr>
              <w:t>у</w:t>
            </w:r>
            <w:r w:rsidR="009F225D">
              <w:rPr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C9DC3B9" w14:textId="5FBA5683" w:rsidR="001A0412" w:rsidRPr="001E00B7" w:rsidRDefault="006777A8" w:rsidP="00FC4B85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 w:rsidR="00FC4B85">
              <w:rPr>
                <w:sz w:val="27"/>
                <w:szCs w:val="27"/>
                <w:lang w:eastAsia="ru-RU"/>
              </w:rPr>
              <w:t>80</w:t>
            </w:r>
            <w:r w:rsidRPr="001E00B7">
              <w:rPr>
                <w:sz w:val="27"/>
                <w:szCs w:val="27"/>
                <w:lang w:eastAsia="ru-RU"/>
              </w:rPr>
              <w:t xml:space="preserve">, </w:t>
            </w:r>
            <w:r w:rsidR="00FC4B85">
              <w:rPr>
                <w:sz w:val="27"/>
                <w:szCs w:val="27"/>
                <w:lang w:eastAsia="ru-RU"/>
              </w:rPr>
              <w:t>12</w:t>
            </w:r>
            <w:r w:rsidRPr="001E00B7">
              <w:rPr>
                <w:sz w:val="27"/>
                <w:szCs w:val="27"/>
                <w:lang w:eastAsia="ru-RU"/>
              </w:rPr>
              <w:t>.</w:t>
            </w:r>
            <w:r w:rsidR="00FC4B85">
              <w:rPr>
                <w:sz w:val="27"/>
                <w:szCs w:val="27"/>
                <w:lang w:eastAsia="ru-RU"/>
              </w:rPr>
              <w:t>1980</w:t>
            </w:r>
          </w:p>
        </w:tc>
        <w:tc>
          <w:tcPr>
            <w:tcW w:w="1276" w:type="dxa"/>
            <w:vAlign w:val="center"/>
          </w:tcPr>
          <w:p w14:paraId="3F477F84" w14:textId="6054C999" w:rsidR="001A0412" w:rsidRPr="00600589" w:rsidRDefault="00FC4B85" w:rsidP="00FC4B85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</w:t>
            </w:r>
            <w:r w:rsidR="00413142">
              <w:rPr>
                <w:sz w:val="27"/>
                <w:szCs w:val="27"/>
                <w:lang w:eastAsia="ru-RU"/>
              </w:rPr>
              <w:t>0</w:t>
            </w:r>
            <w:r>
              <w:rPr>
                <w:sz w:val="27"/>
                <w:szCs w:val="27"/>
                <w:lang w:eastAsia="ru-RU"/>
              </w:rPr>
              <w:t>1250</w:t>
            </w:r>
          </w:p>
        </w:tc>
        <w:tc>
          <w:tcPr>
            <w:tcW w:w="1417" w:type="dxa"/>
            <w:vAlign w:val="center"/>
          </w:tcPr>
          <w:p w14:paraId="0766EAB2" w14:textId="44F2B5A0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vAlign w:val="center"/>
          </w:tcPr>
          <w:p w14:paraId="12467194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37FF61C" w14:textId="77777777" w:rsidR="001A0412" w:rsidRPr="00E14FE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4F11649E" w14:textId="77777777" w:rsidR="001A0412" w:rsidRPr="00600589" w:rsidRDefault="001A0412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694DD012" w14:textId="4C5ED93A" w:rsidR="001A0412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468 958,00</w:t>
            </w:r>
          </w:p>
        </w:tc>
        <w:tc>
          <w:tcPr>
            <w:tcW w:w="1701" w:type="dxa"/>
            <w:vAlign w:val="center"/>
          </w:tcPr>
          <w:p w14:paraId="69343819" w14:textId="7BB16F47" w:rsidR="001A0412" w:rsidRPr="00600589" w:rsidRDefault="00FC4B85" w:rsidP="00FC4B85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234 479,07</w:t>
            </w:r>
          </w:p>
        </w:tc>
        <w:tc>
          <w:tcPr>
            <w:tcW w:w="1560" w:type="dxa"/>
            <w:vAlign w:val="center"/>
          </w:tcPr>
          <w:p w14:paraId="13591710" w14:textId="6106E8E8" w:rsidR="001A0412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234478,93</w:t>
            </w:r>
          </w:p>
        </w:tc>
      </w:tr>
      <w:tr w:rsidR="00600589" w:rsidRPr="001A0412" w14:paraId="76694C90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4E9C7C85" w14:textId="7D91BE8D" w:rsidR="00600589" w:rsidRPr="00E14FE9" w:rsidRDefault="00600589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80" w:type="dxa"/>
            <w:vAlign w:val="center"/>
          </w:tcPr>
          <w:p w14:paraId="6461C76A" w14:textId="36AFCA5A" w:rsidR="00600589" w:rsidRPr="00600589" w:rsidRDefault="00FC4B85" w:rsidP="00D70DFA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Резервуар для мазуту</w:t>
            </w:r>
          </w:p>
        </w:tc>
        <w:tc>
          <w:tcPr>
            <w:tcW w:w="1418" w:type="dxa"/>
            <w:vAlign w:val="center"/>
          </w:tcPr>
          <w:p w14:paraId="162C2A31" w14:textId="0A95D5E8" w:rsidR="006777A8" w:rsidRPr="001E00B7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>
              <w:rPr>
                <w:sz w:val="27"/>
                <w:szCs w:val="27"/>
                <w:lang w:eastAsia="ru-RU"/>
              </w:rPr>
              <w:t>80</w:t>
            </w:r>
            <w:r w:rsidRPr="001E00B7">
              <w:rPr>
                <w:sz w:val="27"/>
                <w:szCs w:val="27"/>
                <w:lang w:eastAsia="ru-RU"/>
              </w:rPr>
              <w:t xml:space="preserve">, </w:t>
            </w:r>
            <w:r>
              <w:rPr>
                <w:sz w:val="27"/>
                <w:szCs w:val="27"/>
                <w:lang w:eastAsia="ru-RU"/>
              </w:rPr>
              <w:t>12</w:t>
            </w:r>
            <w:r w:rsidRPr="001E00B7">
              <w:rPr>
                <w:sz w:val="27"/>
                <w:szCs w:val="27"/>
                <w:lang w:eastAsia="ru-RU"/>
              </w:rPr>
              <w:t>.</w:t>
            </w:r>
            <w:r>
              <w:rPr>
                <w:sz w:val="27"/>
                <w:szCs w:val="27"/>
                <w:lang w:eastAsia="ru-RU"/>
              </w:rPr>
              <w:t>1980</w:t>
            </w:r>
          </w:p>
        </w:tc>
        <w:tc>
          <w:tcPr>
            <w:tcW w:w="1276" w:type="dxa"/>
            <w:vAlign w:val="center"/>
          </w:tcPr>
          <w:p w14:paraId="46205DE9" w14:textId="2FC6D4BD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</w:t>
            </w:r>
            <w:r w:rsidR="00413142">
              <w:rPr>
                <w:sz w:val="27"/>
                <w:szCs w:val="27"/>
                <w:lang w:eastAsia="ru-RU"/>
              </w:rPr>
              <w:t>0</w:t>
            </w:r>
            <w:r>
              <w:rPr>
                <w:sz w:val="27"/>
                <w:szCs w:val="27"/>
                <w:lang w:eastAsia="ru-RU"/>
              </w:rPr>
              <w:t>1249</w:t>
            </w:r>
          </w:p>
        </w:tc>
        <w:tc>
          <w:tcPr>
            <w:tcW w:w="1417" w:type="dxa"/>
            <w:vAlign w:val="center"/>
          </w:tcPr>
          <w:p w14:paraId="62BF969F" w14:textId="0E697931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982" w:type="dxa"/>
            <w:vAlign w:val="center"/>
          </w:tcPr>
          <w:p w14:paraId="6B024FF0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52C1A5E5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6A0617D5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561" w:type="dxa"/>
            <w:vAlign w:val="center"/>
          </w:tcPr>
          <w:p w14:paraId="06CD37D3" w14:textId="02D56FC0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468 958,00</w:t>
            </w:r>
          </w:p>
        </w:tc>
        <w:tc>
          <w:tcPr>
            <w:tcW w:w="1701" w:type="dxa"/>
            <w:vAlign w:val="center"/>
          </w:tcPr>
          <w:p w14:paraId="09E34D48" w14:textId="6B661275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234 479,07</w:t>
            </w:r>
          </w:p>
        </w:tc>
        <w:tc>
          <w:tcPr>
            <w:tcW w:w="1560" w:type="dxa"/>
            <w:vAlign w:val="center"/>
          </w:tcPr>
          <w:p w14:paraId="70187C66" w14:textId="45DC256C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234 478,93</w:t>
            </w:r>
          </w:p>
        </w:tc>
      </w:tr>
      <w:tr w:rsidR="00600589" w:rsidRPr="001A0412" w14:paraId="616E9C5D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40AB25BA" w14:textId="566FF8B3" w:rsidR="00600589" w:rsidRPr="00E14FE9" w:rsidRDefault="00600589" w:rsidP="00D70DFA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80" w:type="dxa"/>
            <w:vAlign w:val="center"/>
          </w:tcPr>
          <w:p w14:paraId="040E2F17" w14:textId="7C9B5588" w:rsidR="00600589" w:rsidRPr="001E00B7" w:rsidRDefault="00FC4B85" w:rsidP="00D70DFA">
            <w:pPr>
              <w:ind w:left="-57" w:right="-57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Будівля </w:t>
            </w:r>
            <w:proofErr w:type="spellStart"/>
            <w:r>
              <w:rPr>
                <w:sz w:val="27"/>
                <w:szCs w:val="27"/>
                <w:lang w:eastAsia="ru-RU"/>
              </w:rPr>
              <w:t>мазутонасосної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</w:t>
            </w:r>
          </w:p>
          <w:p w14:paraId="3DF26821" w14:textId="01EDD83B" w:rsidR="006777A8" w:rsidRPr="00E14FE9" w:rsidRDefault="006777A8" w:rsidP="00FC4B85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(9</w:t>
            </w:r>
            <w:r w:rsidR="00FC4B85">
              <w:rPr>
                <w:sz w:val="27"/>
                <w:szCs w:val="27"/>
                <w:lang w:eastAsia="ru-RU"/>
              </w:rPr>
              <w:t>6</w:t>
            </w:r>
            <w:r>
              <w:rPr>
                <w:sz w:val="27"/>
                <w:szCs w:val="27"/>
                <w:lang w:eastAsia="ru-RU"/>
              </w:rPr>
              <w:t>,</w:t>
            </w:r>
            <w:r w:rsidR="00FC4B85">
              <w:rPr>
                <w:sz w:val="27"/>
                <w:szCs w:val="27"/>
                <w:lang w:eastAsia="ru-RU"/>
              </w:rPr>
              <w:t>2</w:t>
            </w:r>
            <w:r w:rsidR="00F1238D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1E00B7">
              <w:rPr>
                <w:sz w:val="27"/>
                <w:szCs w:val="27"/>
                <w:lang w:eastAsia="ru-RU"/>
              </w:rPr>
              <w:t>кв</w:t>
            </w:r>
            <w:proofErr w:type="spellEnd"/>
            <w:r w:rsidR="001E00B7">
              <w:rPr>
                <w:sz w:val="27"/>
                <w:szCs w:val="27"/>
                <w:lang w:eastAsia="ru-RU"/>
              </w:rPr>
              <w:t>.</w:t>
            </w:r>
            <w:r>
              <w:rPr>
                <w:sz w:val="27"/>
                <w:szCs w:val="27"/>
                <w:lang w:eastAsia="ru-RU"/>
              </w:rPr>
              <w:t xml:space="preserve"> м)</w:t>
            </w:r>
          </w:p>
        </w:tc>
        <w:tc>
          <w:tcPr>
            <w:tcW w:w="1418" w:type="dxa"/>
            <w:vAlign w:val="center"/>
          </w:tcPr>
          <w:p w14:paraId="17919AE0" w14:textId="6BDD9CCB" w:rsidR="006777A8" w:rsidRPr="001E00B7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1E00B7">
              <w:rPr>
                <w:sz w:val="27"/>
                <w:szCs w:val="27"/>
                <w:lang w:eastAsia="ru-RU"/>
              </w:rPr>
              <w:t>19</w:t>
            </w:r>
            <w:r>
              <w:rPr>
                <w:sz w:val="27"/>
                <w:szCs w:val="27"/>
                <w:lang w:eastAsia="ru-RU"/>
              </w:rPr>
              <w:t>80</w:t>
            </w:r>
            <w:r w:rsidRPr="001E00B7">
              <w:rPr>
                <w:sz w:val="27"/>
                <w:szCs w:val="27"/>
                <w:lang w:eastAsia="ru-RU"/>
              </w:rPr>
              <w:t xml:space="preserve">, </w:t>
            </w:r>
            <w:r>
              <w:rPr>
                <w:sz w:val="27"/>
                <w:szCs w:val="27"/>
                <w:lang w:eastAsia="ru-RU"/>
              </w:rPr>
              <w:t>12</w:t>
            </w:r>
            <w:r w:rsidRPr="001E00B7">
              <w:rPr>
                <w:sz w:val="27"/>
                <w:szCs w:val="27"/>
                <w:lang w:eastAsia="ru-RU"/>
              </w:rPr>
              <w:t>.</w:t>
            </w:r>
            <w:r>
              <w:rPr>
                <w:sz w:val="27"/>
                <w:szCs w:val="27"/>
                <w:lang w:eastAsia="ru-RU"/>
              </w:rPr>
              <w:t>1980</w:t>
            </w:r>
          </w:p>
        </w:tc>
        <w:tc>
          <w:tcPr>
            <w:tcW w:w="1276" w:type="dxa"/>
            <w:vAlign w:val="center"/>
          </w:tcPr>
          <w:p w14:paraId="47EF3CFF" w14:textId="2FD511CE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00001244</w:t>
            </w:r>
          </w:p>
        </w:tc>
        <w:tc>
          <w:tcPr>
            <w:tcW w:w="1417" w:type="dxa"/>
            <w:vAlign w:val="center"/>
          </w:tcPr>
          <w:p w14:paraId="6D597B12" w14:textId="01EF7B7F" w:rsidR="00600589" w:rsidRPr="006777A8" w:rsidRDefault="00600589" w:rsidP="00D70DFA">
            <w:pPr>
              <w:pStyle w:val="a3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vAlign w:val="center"/>
          </w:tcPr>
          <w:p w14:paraId="1CD34E7D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176C914" w14:textId="77777777" w:rsidR="00600589" w:rsidRPr="00E14FE9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750D02E4" w14:textId="77777777" w:rsidR="00600589" w:rsidRPr="006777A8" w:rsidRDefault="00600589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F34E422" w14:textId="04EC783E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64</w:t>
            </w:r>
            <w:r w:rsidR="00B9339B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856,00</w:t>
            </w:r>
          </w:p>
        </w:tc>
        <w:tc>
          <w:tcPr>
            <w:tcW w:w="1701" w:type="dxa"/>
            <w:vAlign w:val="center"/>
          </w:tcPr>
          <w:p w14:paraId="7B20B734" w14:textId="2873B65D" w:rsidR="00600589" w:rsidRPr="006777A8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13 352,64</w:t>
            </w:r>
          </w:p>
        </w:tc>
        <w:tc>
          <w:tcPr>
            <w:tcW w:w="1560" w:type="dxa"/>
            <w:vAlign w:val="center"/>
          </w:tcPr>
          <w:p w14:paraId="31213157" w14:textId="3E0829DF" w:rsidR="00600589" w:rsidRPr="00E14FE9" w:rsidRDefault="00FC4B85" w:rsidP="00D70DFA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51 503,36</w:t>
            </w:r>
          </w:p>
        </w:tc>
      </w:tr>
      <w:tr w:rsidR="00554F90" w:rsidRPr="001A0412" w14:paraId="1F17420C" w14:textId="77777777" w:rsidTr="00FA38F8">
        <w:trPr>
          <w:tblCellSpacing w:w="0" w:type="dxa"/>
        </w:trPr>
        <w:tc>
          <w:tcPr>
            <w:tcW w:w="15877" w:type="dxa"/>
            <w:gridSpan w:val="11"/>
            <w:vAlign w:val="center"/>
          </w:tcPr>
          <w:p w14:paraId="1E0E2111" w14:textId="25309992" w:rsidR="00554F90" w:rsidRPr="00FA38F8" w:rsidRDefault="00554F90" w:rsidP="00457904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FA38F8">
              <w:rPr>
                <w:sz w:val="27"/>
                <w:szCs w:val="27"/>
                <w:lang w:eastAsia="ru-RU"/>
              </w:rPr>
              <w:t xml:space="preserve">Адреса: вул. </w:t>
            </w:r>
            <w:proofErr w:type="spellStart"/>
            <w:r w:rsidRPr="00FA38F8">
              <w:rPr>
                <w:sz w:val="27"/>
                <w:szCs w:val="27"/>
                <w:lang w:eastAsia="ru-RU"/>
              </w:rPr>
              <w:t>Знам'янська</w:t>
            </w:r>
            <w:proofErr w:type="spellEnd"/>
            <w:r w:rsidR="00457904" w:rsidRPr="00FA38F8">
              <w:rPr>
                <w:sz w:val="27"/>
                <w:szCs w:val="27"/>
                <w:lang w:eastAsia="ru-RU"/>
              </w:rPr>
              <w:t xml:space="preserve"> (</w:t>
            </w:r>
            <w:r w:rsidR="004F6038">
              <w:rPr>
                <w:sz w:val="27"/>
                <w:szCs w:val="27"/>
                <w:lang w:eastAsia="ru-RU"/>
              </w:rPr>
              <w:t>вул. </w:t>
            </w:r>
            <w:proofErr w:type="spellStart"/>
            <w:r w:rsidR="00457904" w:rsidRPr="00FA38F8">
              <w:rPr>
                <w:sz w:val="27"/>
                <w:szCs w:val="27"/>
                <w:lang w:eastAsia="ru-RU"/>
              </w:rPr>
              <w:t>Знаменська</w:t>
            </w:r>
            <w:proofErr w:type="spellEnd"/>
            <w:r w:rsidR="00457904" w:rsidRPr="00FA38F8">
              <w:rPr>
                <w:sz w:val="27"/>
                <w:szCs w:val="27"/>
                <w:lang w:eastAsia="ru-RU"/>
              </w:rPr>
              <w:t>)</w:t>
            </w:r>
            <w:r w:rsidRPr="00FA38F8">
              <w:rPr>
                <w:sz w:val="27"/>
                <w:szCs w:val="27"/>
                <w:lang w:eastAsia="ru-RU"/>
              </w:rPr>
              <w:t>,</w:t>
            </w:r>
            <w:r w:rsidR="004F6038">
              <w:rPr>
                <w:sz w:val="27"/>
                <w:szCs w:val="27"/>
                <w:lang w:eastAsia="ru-RU"/>
              </w:rPr>
              <w:t> </w:t>
            </w:r>
            <w:r w:rsidRPr="00FA38F8">
              <w:rPr>
                <w:sz w:val="27"/>
                <w:szCs w:val="27"/>
                <w:lang w:eastAsia="ru-RU"/>
              </w:rPr>
              <w:t>2К</w:t>
            </w:r>
          </w:p>
        </w:tc>
      </w:tr>
      <w:tr w:rsidR="00554F90" w:rsidRPr="001A0412" w14:paraId="235168D5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5A4D9B07" w14:textId="3FC31BEB" w:rsidR="00554F90" w:rsidRPr="00E14FE9" w:rsidRDefault="00457904" w:rsidP="004F66A3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  <w:r w:rsidR="00554F90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6E413F1F" w14:textId="349EC03D" w:rsidR="00554F90" w:rsidRPr="00600589" w:rsidRDefault="00CD29F8" w:rsidP="00CD29F8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Котел КБНГ - 2.5 (</w:t>
            </w:r>
            <w:r w:rsidR="00F23A62">
              <w:rPr>
                <w:sz w:val="27"/>
                <w:szCs w:val="27"/>
                <w:lang w:eastAsia="ru-RU"/>
              </w:rPr>
              <w:t>Водогрійний котел КБНГ-2.5</w:t>
            </w:r>
            <w:r>
              <w:rPr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581F7176" w14:textId="0C32BA68" w:rsidR="00554F90" w:rsidRPr="001E00B7" w:rsidRDefault="00F1238D" w:rsidP="008B5594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199</w:t>
            </w:r>
            <w:r w:rsidR="008B5594">
              <w:rPr>
                <w:sz w:val="27"/>
                <w:szCs w:val="27"/>
                <w:lang w:eastAsia="ru-RU"/>
              </w:rPr>
              <w:t>0</w:t>
            </w:r>
            <w:r>
              <w:rPr>
                <w:sz w:val="27"/>
                <w:szCs w:val="27"/>
                <w:lang w:eastAsia="ru-RU"/>
              </w:rPr>
              <w:t>, 01.12.1997</w:t>
            </w:r>
          </w:p>
        </w:tc>
        <w:tc>
          <w:tcPr>
            <w:tcW w:w="1276" w:type="dxa"/>
            <w:vAlign w:val="center"/>
          </w:tcPr>
          <w:p w14:paraId="4950969B" w14:textId="4EE1C39F" w:rsidR="00554F90" w:rsidRPr="00600589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00110021</w:t>
            </w:r>
          </w:p>
        </w:tc>
        <w:tc>
          <w:tcPr>
            <w:tcW w:w="1417" w:type="dxa"/>
            <w:vAlign w:val="center"/>
          </w:tcPr>
          <w:p w14:paraId="2C9A727F" w14:textId="1C61AD24" w:rsidR="005E0D8D" w:rsidRDefault="008B5594" w:rsidP="005E0D8D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228</w:t>
            </w:r>
            <w:r w:rsidR="005E0D8D">
              <w:rPr>
                <w:sz w:val="27"/>
                <w:szCs w:val="27"/>
                <w:lang w:eastAsia="ru-RU"/>
              </w:rPr>
              <w:t>/</w:t>
            </w:r>
          </w:p>
          <w:p w14:paraId="33AE90E0" w14:textId="3C273ABE" w:rsidR="00554F90" w:rsidRPr="00E14FE9" w:rsidRDefault="005E0D8D" w:rsidP="005E0D8D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257</w:t>
            </w:r>
          </w:p>
        </w:tc>
        <w:tc>
          <w:tcPr>
            <w:tcW w:w="982" w:type="dxa"/>
            <w:vAlign w:val="center"/>
          </w:tcPr>
          <w:p w14:paraId="4AF8AFAD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41785292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400472E5" w14:textId="77777777" w:rsidR="00554F90" w:rsidRPr="0060058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5B89C74" w14:textId="416862B2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26 250,00</w:t>
            </w:r>
          </w:p>
        </w:tc>
        <w:tc>
          <w:tcPr>
            <w:tcW w:w="1701" w:type="dxa"/>
            <w:vAlign w:val="center"/>
          </w:tcPr>
          <w:p w14:paraId="1656B8C7" w14:textId="5C9F108B" w:rsidR="00554F90" w:rsidRPr="0060058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9 187,08</w:t>
            </w:r>
          </w:p>
        </w:tc>
        <w:tc>
          <w:tcPr>
            <w:tcW w:w="1560" w:type="dxa"/>
            <w:vAlign w:val="center"/>
          </w:tcPr>
          <w:p w14:paraId="17FB6B55" w14:textId="5D4A8214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17 062,92</w:t>
            </w:r>
          </w:p>
        </w:tc>
      </w:tr>
      <w:tr w:rsidR="00554F90" w:rsidRPr="001A0412" w14:paraId="11B4A42C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052F7BC3" w14:textId="5BA98663" w:rsidR="00554F90" w:rsidRPr="00E14FE9" w:rsidRDefault="00457904" w:rsidP="004F66A3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5</w:t>
            </w:r>
            <w:r w:rsidR="00554F90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09ABAD27" w14:textId="4690F17B" w:rsidR="00554F90" w:rsidRPr="00600589" w:rsidRDefault="00F73389" w:rsidP="00F73389">
            <w:pPr>
              <w:ind w:left="-57" w:right="-57"/>
              <w:rPr>
                <w:sz w:val="27"/>
                <w:szCs w:val="27"/>
                <w:lang w:eastAsia="ru-RU"/>
              </w:rPr>
            </w:pPr>
            <w:proofErr w:type="spellStart"/>
            <w:r>
              <w:rPr>
                <w:sz w:val="27"/>
                <w:szCs w:val="27"/>
                <w:lang w:eastAsia="ru-RU"/>
              </w:rPr>
              <w:t>Газопальникове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обладнання СНТ-34БЛ (</w:t>
            </w:r>
            <w:proofErr w:type="spellStart"/>
            <w:r w:rsidR="00F23A62">
              <w:rPr>
                <w:sz w:val="27"/>
                <w:szCs w:val="27"/>
                <w:lang w:eastAsia="ru-RU"/>
              </w:rPr>
              <w:t>Пальниковий</w:t>
            </w:r>
            <w:proofErr w:type="spellEnd"/>
            <w:r w:rsidR="00F23A62">
              <w:rPr>
                <w:sz w:val="27"/>
                <w:szCs w:val="27"/>
                <w:lang w:eastAsia="ru-RU"/>
              </w:rPr>
              <w:t xml:space="preserve"> пристрій  СНТ-34БЛ</w:t>
            </w:r>
            <w:r>
              <w:rPr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6D3473" w14:textId="77777777" w:rsidR="00554F90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2010,</w:t>
            </w:r>
          </w:p>
          <w:p w14:paraId="1A1E6552" w14:textId="291E8D6B" w:rsidR="00F1238D" w:rsidRPr="001E00B7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01.10.2010</w:t>
            </w:r>
          </w:p>
        </w:tc>
        <w:tc>
          <w:tcPr>
            <w:tcW w:w="1276" w:type="dxa"/>
            <w:vAlign w:val="center"/>
          </w:tcPr>
          <w:p w14:paraId="1B21BE74" w14:textId="796DA03F" w:rsidR="00554F90" w:rsidRPr="00E14FE9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00206055</w:t>
            </w:r>
          </w:p>
        </w:tc>
        <w:tc>
          <w:tcPr>
            <w:tcW w:w="1417" w:type="dxa"/>
            <w:vAlign w:val="center"/>
          </w:tcPr>
          <w:p w14:paraId="78941C70" w14:textId="2EE9B3E9" w:rsidR="00554F90" w:rsidRPr="00E14FE9" w:rsidRDefault="00F23A62" w:rsidP="004F66A3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100702</w:t>
            </w:r>
          </w:p>
        </w:tc>
        <w:tc>
          <w:tcPr>
            <w:tcW w:w="982" w:type="dxa"/>
            <w:vAlign w:val="center"/>
          </w:tcPr>
          <w:p w14:paraId="6513ECA5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486A6ECD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362987CA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561" w:type="dxa"/>
            <w:vAlign w:val="center"/>
          </w:tcPr>
          <w:p w14:paraId="724B17A3" w14:textId="1818DA9E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85 140,0</w:t>
            </w:r>
          </w:p>
        </w:tc>
        <w:tc>
          <w:tcPr>
            <w:tcW w:w="1701" w:type="dxa"/>
            <w:vAlign w:val="center"/>
          </w:tcPr>
          <w:p w14:paraId="45D6BE74" w14:textId="19CC79A5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29 798,58</w:t>
            </w:r>
          </w:p>
        </w:tc>
        <w:tc>
          <w:tcPr>
            <w:tcW w:w="1560" w:type="dxa"/>
            <w:vAlign w:val="center"/>
          </w:tcPr>
          <w:p w14:paraId="7ECD9120" w14:textId="77777777" w:rsidR="00B9339B" w:rsidRDefault="00B9339B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  <w:p w14:paraId="54638196" w14:textId="2F8B5F25" w:rsidR="00554F90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55 341,42</w:t>
            </w:r>
          </w:p>
          <w:p w14:paraId="5A5533E4" w14:textId="4823489A" w:rsidR="00F1238D" w:rsidRPr="00E14FE9" w:rsidRDefault="00F1238D" w:rsidP="00F1238D">
            <w:pPr>
              <w:ind w:left="-57" w:right="-57"/>
              <w:rPr>
                <w:sz w:val="27"/>
                <w:szCs w:val="27"/>
                <w:lang w:eastAsia="ru-RU"/>
              </w:rPr>
            </w:pPr>
          </w:p>
        </w:tc>
      </w:tr>
      <w:tr w:rsidR="00554F90" w:rsidRPr="001A0412" w14:paraId="297C23BC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5A0AE681" w14:textId="086F3EBF" w:rsidR="00554F90" w:rsidRPr="00E14FE9" w:rsidRDefault="00457904" w:rsidP="004F66A3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  <w:r w:rsidR="00554F90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143D003F" w14:textId="202809E9" w:rsidR="00554F90" w:rsidRPr="00E14FE9" w:rsidRDefault="007B3860" w:rsidP="007B3860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Стенд компресор 155-2В5 (</w:t>
            </w:r>
            <w:r w:rsidR="003D5185">
              <w:rPr>
                <w:sz w:val="27"/>
                <w:szCs w:val="27"/>
                <w:lang w:eastAsia="ru-RU"/>
              </w:rPr>
              <w:t>Ресивер компресора 155-2В5</w:t>
            </w:r>
            <w:r>
              <w:rPr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10CDD4F4" w14:textId="77777777" w:rsidR="00554F90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1989,</w:t>
            </w:r>
          </w:p>
          <w:p w14:paraId="033F3C0B" w14:textId="1EBE5D9E" w:rsidR="00F1238D" w:rsidRPr="001E00B7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01.03.1989</w:t>
            </w:r>
          </w:p>
        </w:tc>
        <w:tc>
          <w:tcPr>
            <w:tcW w:w="1276" w:type="dxa"/>
            <w:vAlign w:val="center"/>
          </w:tcPr>
          <w:p w14:paraId="2BEF2C97" w14:textId="67A837CC" w:rsidR="00554F90" w:rsidRPr="00E14FE9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КТП2-00237</w:t>
            </w:r>
          </w:p>
        </w:tc>
        <w:tc>
          <w:tcPr>
            <w:tcW w:w="1417" w:type="dxa"/>
            <w:vAlign w:val="center"/>
          </w:tcPr>
          <w:p w14:paraId="118E7859" w14:textId="75CF24BD" w:rsidR="00554F90" w:rsidRPr="006777A8" w:rsidRDefault="00144698" w:rsidP="004F66A3">
            <w:pPr>
              <w:pStyle w:val="a3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6655</w:t>
            </w:r>
          </w:p>
        </w:tc>
        <w:tc>
          <w:tcPr>
            <w:tcW w:w="982" w:type="dxa"/>
            <w:vAlign w:val="center"/>
          </w:tcPr>
          <w:p w14:paraId="21ABB07F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529EBA86" w14:textId="77777777" w:rsidR="00554F90" w:rsidRPr="00E14FE9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2E667DF9" w14:textId="77777777" w:rsidR="00554F90" w:rsidRPr="006777A8" w:rsidRDefault="00554F90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2CFB8463" w14:textId="1F278F6E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22 500,00</w:t>
            </w:r>
          </w:p>
        </w:tc>
        <w:tc>
          <w:tcPr>
            <w:tcW w:w="1701" w:type="dxa"/>
            <w:vAlign w:val="center"/>
          </w:tcPr>
          <w:p w14:paraId="48129604" w14:textId="159434C9" w:rsidR="00554F90" w:rsidRPr="006777A8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7 874,58</w:t>
            </w:r>
          </w:p>
        </w:tc>
        <w:tc>
          <w:tcPr>
            <w:tcW w:w="1560" w:type="dxa"/>
            <w:vAlign w:val="center"/>
          </w:tcPr>
          <w:p w14:paraId="0C11FF4F" w14:textId="5A46088B" w:rsidR="00554F90" w:rsidRPr="00E14FE9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14 625,42</w:t>
            </w:r>
          </w:p>
        </w:tc>
      </w:tr>
      <w:tr w:rsidR="00457904" w:rsidRPr="00E14FE9" w14:paraId="0212F1A4" w14:textId="77777777" w:rsidTr="00FA38F8">
        <w:trPr>
          <w:tblCellSpacing w:w="0" w:type="dxa"/>
        </w:trPr>
        <w:tc>
          <w:tcPr>
            <w:tcW w:w="564" w:type="dxa"/>
            <w:vAlign w:val="center"/>
            <w:hideMark/>
          </w:tcPr>
          <w:p w14:paraId="704F3711" w14:textId="436F4532" w:rsidR="00457904" w:rsidRPr="00E14FE9" w:rsidRDefault="00457904" w:rsidP="004F66A3">
            <w:pPr>
              <w:spacing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</w:t>
            </w:r>
            <w:r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14:paraId="2A00758C" w14:textId="09C9DBCF" w:rsidR="00457904" w:rsidRPr="00E14FE9" w:rsidRDefault="007B3860" w:rsidP="007B3860">
            <w:pPr>
              <w:ind w:left="-57" w:right="-57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Трансформатор силовий ТМ630КВАР (</w:t>
            </w:r>
            <w:r w:rsidR="00144698">
              <w:rPr>
                <w:sz w:val="27"/>
                <w:szCs w:val="27"/>
                <w:lang w:eastAsia="ru-RU"/>
              </w:rPr>
              <w:t xml:space="preserve">Трифазний масляний трансформатор ТМ-630/6-82У1 630 </w:t>
            </w:r>
            <w:proofErr w:type="spellStart"/>
            <w:r w:rsidR="00144698">
              <w:rPr>
                <w:sz w:val="27"/>
                <w:szCs w:val="27"/>
                <w:lang w:eastAsia="ru-RU"/>
              </w:rPr>
              <w:t>кВА</w:t>
            </w:r>
            <w:proofErr w:type="spellEnd"/>
            <w:r>
              <w:rPr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4BC293CA" w14:textId="77777777" w:rsidR="00457904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1973,</w:t>
            </w:r>
          </w:p>
          <w:p w14:paraId="6EAA44C3" w14:textId="2D6A041E" w:rsidR="00F1238D" w:rsidRPr="001E00B7" w:rsidRDefault="00F1238D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01.03.1973</w:t>
            </w:r>
          </w:p>
        </w:tc>
        <w:tc>
          <w:tcPr>
            <w:tcW w:w="1276" w:type="dxa"/>
            <w:vAlign w:val="center"/>
          </w:tcPr>
          <w:p w14:paraId="151CE2EE" w14:textId="3B718705" w:rsidR="00457904" w:rsidRPr="00E14FE9" w:rsidRDefault="00457904" w:rsidP="00457904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КТП2-00183</w:t>
            </w:r>
          </w:p>
        </w:tc>
        <w:tc>
          <w:tcPr>
            <w:tcW w:w="1417" w:type="dxa"/>
            <w:vAlign w:val="center"/>
          </w:tcPr>
          <w:p w14:paraId="103A8221" w14:textId="77777777" w:rsidR="00457904" w:rsidRPr="006777A8" w:rsidRDefault="00457904" w:rsidP="004F66A3">
            <w:pPr>
              <w:pStyle w:val="a3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vAlign w:val="center"/>
          </w:tcPr>
          <w:p w14:paraId="2F9EF246" w14:textId="77777777" w:rsidR="00457904" w:rsidRPr="00E14FE9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7FC12970" w14:textId="77777777" w:rsidR="00457904" w:rsidRPr="00E14FE9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Align w:val="center"/>
          </w:tcPr>
          <w:p w14:paraId="305FAEDD" w14:textId="77777777" w:rsidR="00457904" w:rsidRPr="006777A8" w:rsidRDefault="00457904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61C433D1" w14:textId="73C6C243" w:rsidR="00457904" w:rsidRPr="00E14FE9" w:rsidRDefault="00316969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26 605,00</w:t>
            </w:r>
          </w:p>
        </w:tc>
        <w:tc>
          <w:tcPr>
            <w:tcW w:w="1701" w:type="dxa"/>
            <w:vAlign w:val="center"/>
          </w:tcPr>
          <w:p w14:paraId="3F04C978" w14:textId="6C62DA6D" w:rsidR="00457904" w:rsidRPr="006777A8" w:rsidRDefault="00316969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9 311,40</w:t>
            </w:r>
          </w:p>
        </w:tc>
        <w:tc>
          <w:tcPr>
            <w:tcW w:w="1560" w:type="dxa"/>
            <w:vAlign w:val="center"/>
          </w:tcPr>
          <w:p w14:paraId="35B1D3B1" w14:textId="327DEC94" w:rsidR="00457904" w:rsidRPr="00E14FE9" w:rsidRDefault="00316969" w:rsidP="004F66A3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17 293,60</w:t>
            </w:r>
          </w:p>
        </w:tc>
      </w:tr>
    </w:tbl>
    <w:p w14:paraId="1A73B951" w14:textId="02AC7751" w:rsidR="00554F90" w:rsidRDefault="00554F90" w:rsidP="00554F90">
      <w:pPr>
        <w:jc w:val="center"/>
      </w:pPr>
    </w:p>
    <w:p w14:paraId="61C6BC30" w14:textId="4FA251DA" w:rsidR="001A0412" w:rsidRDefault="001A0412" w:rsidP="00E951E0">
      <w:pPr>
        <w:jc w:val="center"/>
      </w:pPr>
    </w:p>
    <w:sectPr w:rsidR="001A0412" w:rsidSect="00D70DFA">
      <w:pgSz w:w="16838" w:h="11906" w:orient="landscape" w:code="9"/>
      <w:pgMar w:top="1701" w:right="567" w:bottom="567" w:left="567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C6A6" w14:textId="77777777" w:rsidR="00CB6271" w:rsidRDefault="00CB6271" w:rsidP="00996D24">
      <w:r>
        <w:separator/>
      </w:r>
    </w:p>
  </w:endnote>
  <w:endnote w:type="continuationSeparator" w:id="0">
    <w:p w14:paraId="64F3FC94" w14:textId="77777777" w:rsidR="00CB6271" w:rsidRDefault="00CB6271" w:rsidP="009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9424" w14:textId="77777777" w:rsidR="00CB6271" w:rsidRDefault="00CB6271" w:rsidP="00996D24">
      <w:r>
        <w:separator/>
      </w:r>
    </w:p>
  </w:footnote>
  <w:footnote w:type="continuationSeparator" w:id="0">
    <w:p w14:paraId="5B190032" w14:textId="77777777" w:rsidR="00CB6271" w:rsidRDefault="00CB6271" w:rsidP="0099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887796612"/>
      <w:docPartObj>
        <w:docPartGallery w:val="Page Numbers (Top of Page)"/>
        <w:docPartUnique/>
      </w:docPartObj>
    </w:sdtPr>
    <w:sdtEndPr/>
    <w:sdtContent>
      <w:p w14:paraId="6E7773DC" w14:textId="03A17EB1" w:rsidR="00996D24" w:rsidRPr="00996D24" w:rsidRDefault="00996D24">
        <w:pPr>
          <w:pStyle w:val="a4"/>
          <w:jc w:val="center"/>
          <w:rPr>
            <w:sz w:val="28"/>
            <w:szCs w:val="28"/>
          </w:rPr>
        </w:pPr>
        <w:r w:rsidRPr="00996D24">
          <w:rPr>
            <w:sz w:val="28"/>
            <w:szCs w:val="28"/>
          </w:rPr>
          <w:fldChar w:fldCharType="begin"/>
        </w:r>
        <w:r w:rsidRPr="00996D24">
          <w:rPr>
            <w:sz w:val="28"/>
            <w:szCs w:val="28"/>
          </w:rPr>
          <w:instrText>PAGE   \* MERGEFORMAT</w:instrText>
        </w:r>
        <w:r w:rsidRPr="00996D24">
          <w:rPr>
            <w:sz w:val="28"/>
            <w:szCs w:val="28"/>
          </w:rPr>
          <w:fldChar w:fldCharType="separate"/>
        </w:r>
        <w:r w:rsidR="00930952" w:rsidRPr="00930952">
          <w:rPr>
            <w:noProof/>
            <w:sz w:val="28"/>
            <w:szCs w:val="28"/>
            <w:lang w:val="ru-RU"/>
          </w:rPr>
          <w:t>3</w:t>
        </w:r>
        <w:r w:rsidRPr="00996D2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B"/>
    <w:rsid w:val="0000107A"/>
    <w:rsid w:val="0004289E"/>
    <w:rsid w:val="0005141B"/>
    <w:rsid w:val="00055D7F"/>
    <w:rsid w:val="000F5718"/>
    <w:rsid w:val="0013047B"/>
    <w:rsid w:val="00144698"/>
    <w:rsid w:val="001A0412"/>
    <w:rsid w:val="001A4F8F"/>
    <w:rsid w:val="001B5C17"/>
    <w:rsid w:val="001C3B14"/>
    <w:rsid w:val="001E00B7"/>
    <w:rsid w:val="001E0676"/>
    <w:rsid w:val="0024792A"/>
    <w:rsid w:val="002961A2"/>
    <w:rsid w:val="002E4E61"/>
    <w:rsid w:val="002F03A6"/>
    <w:rsid w:val="00316969"/>
    <w:rsid w:val="003B1C61"/>
    <w:rsid w:val="003D5185"/>
    <w:rsid w:val="00413142"/>
    <w:rsid w:val="00447E6F"/>
    <w:rsid w:val="00457904"/>
    <w:rsid w:val="00457B11"/>
    <w:rsid w:val="004610FD"/>
    <w:rsid w:val="0049087F"/>
    <w:rsid w:val="004A12BE"/>
    <w:rsid w:val="004F3187"/>
    <w:rsid w:val="004F6038"/>
    <w:rsid w:val="00503CDD"/>
    <w:rsid w:val="00554F90"/>
    <w:rsid w:val="00582033"/>
    <w:rsid w:val="005E0D8D"/>
    <w:rsid w:val="005E5A71"/>
    <w:rsid w:val="005F02B6"/>
    <w:rsid w:val="00600589"/>
    <w:rsid w:val="00635940"/>
    <w:rsid w:val="0064104A"/>
    <w:rsid w:val="00651604"/>
    <w:rsid w:val="006777A8"/>
    <w:rsid w:val="0069617F"/>
    <w:rsid w:val="006A4165"/>
    <w:rsid w:val="006C64B6"/>
    <w:rsid w:val="007144C3"/>
    <w:rsid w:val="00734484"/>
    <w:rsid w:val="007738C2"/>
    <w:rsid w:val="007B3860"/>
    <w:rsid w:val="00820442"/>
    <w:rsid w:val="00823C76"/>
    <w:rsid w:val="00896248"/>
    <w:rsid w:val="008B5594"/>
    <w:rsid w:val="008C2D57"/>
    <w:rsid w:val="008F520B"/>
    <w:rsid w:val="00930952"/>
    <w:rsid w:val="009763D8"/>
    <w:rsid w:val="00976436"/>
    <w:rsid w:val="00996D24"/>
    <w:rsid w:val="009A28B9"/>
    <w:rsid w:val="009C7A5A"/>
    <w:rsid w:val="009F225D"/>
    <w:rsid w:val="009F7526"/>
    <w:rsid w:val="00A06C51"/>
    <w:rsid w:val="00AB09BA"/>
    <w:rsid w:val="00AC42A8"/>
    <w:rsid w:val="00B67637"/>
    <w:rsid w:val="00B9339B"/>
    <w:rsid w:val="00BE4B34"/>
    <w:rsid w:val="00C4705B"/>
    <w:rsid w:val="00C82703"/>
    <w:rsid w:val="00C837DB"/>
    <w:rsid w:val="00CB6271"/>
    <w:rsid w:val="00CD29F8"/>
    <w:rsid w:val="00CE0737"/>
    <w:rsid w:val="00CF002C"/>
    <w:rsid w:val="00D70DFA"/>
    <w:rsid w:val="00D7193E"/>
    <w:rsid w:val="00DC094F"/>
    <w:rsid w:val="00DE41BA"/>
    <w:rsid w:val="00E14FE9"/>
    <w:rsid w:val="00E62475"/>
    <w:rsid w:val="00E65249"/>
    <w:rsid w:val="00E951E0"/>
    <w:rsid w:val="00EC2900"/>
    <w:rsid w:val="00ED1864"/>
    <w:rsid w:val="00ED4E39"/>
    <w:rsid w:val="00F1238D"/>
    <w:rsid w:val="00F23A62"/>
    <w:rsid w:val="00F54A1E"/>
    <w:rsid w:val="00F73389"/>
    <w:rsid w:val="00F74BBE"/>
    <w:rsid w:val="00FA38F8"/>
    <w:rsid w:val="00FC411D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95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5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1E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5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95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5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1E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5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2</cp:revision>
  <cp:lastPrinted>2024-11-25T14:11:00Z</cp:lastPrinted>
  <dcterms:created xsi:type="dcterms:W3CDTF">2024-12-09T11:16:00Z</dcterms:created>
  <dcterms:modified xsi:type="dcterms:W3CDTF">2024-12-09T11:16:00Z</dcterms:modified>
</cp:coreProperties>
</file>