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1E32" w14:textId="49FB23CA" w:rsidR="00B72D11" w:rsidRPr="00B72D11" w:rsidRDefault="00B72D11" w:rsidP="00B72D11">
      <w:pPr>
        <w:pStyle w:val="a3"/>
        <w:spacing w:before="0" w:beforeAutospacing="0" w:after="360" w:afterAutospacing="0"/>
        <w:jc w:val="center"/>
        <w:rPr>
          <w:color w:val="303030"/>
          <w:sz w:val="28"/>
          <w:szCs w:val="28"/>
        </w:rPr>
      </w:pPr>
      <w:r w:rsidRPr="00B72D11">
        <w:rPr>
          <w:rStyle w:val="a4"/>
          <w:color w:val="303030"/>
          <w:sz w:val="28"/>
          <w:szCs w:val="28"/>
          <w:u w:val="single"/>
        </w:rPr>
        <w:t xml:space="preserve">Повідомлення про оприлюднення </w:t>
      </w:r>
      <w:proofErr w:type="spellStart"/>
      <w:r w:rsidRPr="00B72D11">
        <w:rPr>
          <w:rStyle w:val="a4"/>
          <w:color w:val="303030"/>
          <w:sz w:val="28"/>
          <w:szCs w:val="28"/>
          <w:u w:val="single"/>
        </w:rPr>
        <w:t>проєкту</w:t>
      </w:r>
      <w:proofErr w:type="spellEnd"/>
      <w:r w:rsidR="00A721E3">
        <w:rPr>
          <w:rStyle w:val="a4"/>
          <w:color w:val="303030"/>
          <w:sz w:val="28"/>
          <w:szCs w:val="28"/>
          <w:u w:val="single"/>
        </w:rPr>
        <w:t xml:space="preserve"> Стратегії розвитку Миколаївської міської територіальної громади на період до 2027 року та Плану заходів з її реалізації </w:t>
      </w:r>
      <w:r w:rsidRPr="00B72D11">
        <w:rPr>
          <w:rStyle w:val="a4"/>
          <w:color w:val="303030"/>
          <w:sz w:val="28"/>
          <w:szCs w:val="28"/>
          <w:u w:val="single"/>
        </w:rPr>
        <w:t xml:space="preserve">  та  звіту про стратегічну екологічну оцінку</w:t>
      </w:r>
    </w:p>
    <w:p w14:paraId="55812B92" w14:textId="17842EAF" w:rsidR="00B72D11" w:rsidRPr="00A721E3" w:rsidRDefault="00B72D11" w:rsidP="00B72D11">
      <w:pPr>
        <w:pStyle w:val="a3"/>
        <w:spacing w:before="0" w:beforeAutospacing="0" w:after="360" w:afterAutospacing="0"/>
        <w:jc w:val="both"/>
        <w:rPr>
          <w:b/>
          <w:bCs/>
          <w:color w:val="303030"/>
          <w:sz w:val="28"/>
          <w:szCs w:val="28"/>
        </w:rPr>
      </w:pPr>
      <w:r w:rsidRPr="00B72D11">
        <w:rPr>
          <w:rStyle w:val="a4"/>
          <w:color w:val="303030"/>
          <w:sz w:val="28"/>
          <w:szCs w:val="28"/>
        </w:rPr>
        <w:t>1.Повна назва документа державного планування</w:t>
      </w:r>
      <w:r w:rsidRPr="00B72D11">
        <w:rPr>
          <w:color w:val="303030"/>
          <w:sz w:val="28"/>
          <w:szCs w:val="28"/>
        </w:rPr>
        <w:t xml:space="preserve">: </w:t>
      </w:r>
      <w:r w:rsidR="00A721E3" w:rsidRPr="00A721E3">
        <w:rPr>
          <w:rStyle w:val="a4"/>
          <w:b w:val="0"/>
          <w:bCs w:val="0"/>
          <w:color w:val="303030"/>
          <w:sz w:val="28"/>
          <w:szCs w:val="28"/>
        </w:rPr>
        <w:t xml:space="preserve">Стратегія розвитку Миколаївської міської територіальної громади на період до 2027 року та План заходів з її реалізації </w:t>
      </w:r>
      <w:r w:rsidR="00A721E3">
        <w:rPr>
          <w:rStyle w:val="a4"/>
          <w:b w:val="0"/>
          <w:bCs w:val="0"/>
          <w:color w:val="303030"/>
          <w:sz w:val="28"/>
          <w:szCs w:val="28"/>
        </w:rPr>
        <w:t>(далі -</w:t>
      </w:r>
      <w:r w:rsidR="007B7385">
        <w:rPr>
          <w:rStyle w:val="a4"/>
          <w:b w:val="0"/>
          <w:bCs w:val="0"/>
          <w:color w:val="303030"/>
          <w:sz w:val="28"/>
          <w:szCs w:val="28"/>
        </w:rPr>
        <w:t xml:space="preserve"> </w:t>
      </w:r>
      <w:r w:rsidR="00A721E3">
        <w:rPr>
          <w:rStyle w:val="a4"/>
          <w:b w:val="0"/>
          <w:bCs w:val="0"/>
          <w:color w:val="303030"/>
          <w:sz w:val="28"/>
          <w:szCs w:val="28"/>
        </w:rPr>
        <w:t>Стратегія)</w:t>
      </w:r>
      <w:r w:rsidR="00A721E3" w:rsidRPr="00A721E3">
        <w:rPr>
          <w:rStyle w:val="a4"/>
          <w:b w:val="0"/>
          <w:bCs w:val="0"/>
          <w:color w:val="303030"/>
          <w:sz w:val="28"/>
          <w:szCs w:val="28"/>
        </w:rPr>
        <w:t xml:space="preserve">  </w:t>
      </w:r>
    </w:p>
    <w:p w14:paraId="779C5814" w14:textId="43EBEEA0" w:rsidR="00A721E3" w:rsidRDefault="00A721E3" w:rsidP="00A72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010">
        <w:rPr>
          <w:rFonts w:ascii="Times New Roman" w:hAnsi="Times New Roman" w:cs="Times New Roman"/>
          <w:sz w:val="28"/>
          <w:szCs w:val="28"/>
        </w:rPr>
        <w:t xml:space="preserve">Метою Стратегії є здійснити аналіз тенденцій, проблем та потреб громади, виявити наявний соціально-економічний потенціал, визначити цілі, завдання та заходи з розв’язання проблем та досягнення конкретних результатів розвитку громади в довгостроковій перспективі для забезпечення конкурентної економіки, створення комфортних та безпечних умов життя населення. </w:t>
      </w:r>
    </w:p>
    <w:p w14:paraId="4D2E579A" w14:textId="77777777" w:rsidR="00A721E3" w:rsidRPr="00011010" w:rsidRDefault="00A721E3" w:rsidP="00A72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2A378F" w14:textId="77777777" w:rsidR="00B72D11" w:rsidRPr="00B72D11" w:rsidRDefault="00B72D11" w:rsidP="00B72D11">
      <w:pPr>
        <w:pStyle w:val="a3"/>
        <w:spacing w:before="0" w:beforeAutospacing="0" w:after="360" w:afterAutospacing="0"/>
        <w:jc w:val="both"/>
        <w:rPr>
          <w:color w:val="303030"/>
          <w:sz w:val="28"/>
          <w:szCs w:val="28"/>
        </w:rPr>
      </w:pPr>
      <w:r w:rsidRPr="00B72D11">
        <w:rPr>
          <w:rStyle w:val="a4"/>
          <w:color w:val="303030"/>
          <w:sz w:val="28"/>
          <w:szCs w:val="28"/>
        </w:rPr>
        <w:t>2.Орган, що прийматиме рішення про затвердження документа державного планування</w:t>
      </w:r>
      <w:r w:rsidRPr="00B72D11">
        <w:rPr>
          <w:color w:val="303030"/>
          <w:sz w:val="28"/>
          <w:szCs w:val="28"/>
        </w:rPr>
        <w:t>: Миколаївська міська рада</w:t>
      </w:r>
    </w:p>
    <w:p w14:paraId="75A227BC" w14:textId="77777777" w:rsidR="00B72D11" w:rsidRPr="00B72D11" w:rsidRDefault="00B72D11" w:rsidP="00B72D11">
      <w:pPr>
        <w:pStyle w:val="a3"/>
        <w:spacing w:before="0" w:beforeAutospacing="0" w:after="360" w:afterAutospacing="0"/>
        <w:jc w:val="both"/>
        <w:rPr>
          <w:color w:val="303030"/>
          <w:sz w:val="28"/>
          <w:szCs w:val="28"/>
        </w:rPr>
      </w:pPr>
      <w:r w:rsidRPr="00B72D11">
        <w:rPr>
          <w:rStyle w:val="a4"/>
          <w:color w:val="303030"/>
          <w:sz w:val="28"/>
          <w:szCs w:val="28"/>
        </w:rPr>
        <w:t>3.Передбачувана процедура громадського обговорення</w:t>
      </w:r>
      <w:r w:rsidRPr="00B72D11">
        <w:rPr>
          <w:color w:val="303030"/>
          <w:sz w:val="28"/>
          <w:szCs w:val="28"/>
        </w:rPr>
        <w:t>, у тому числі:</w:t>
      </w:r>
    </w:p>
    <w:p w14:paraId="68DB5FBD" w14:textId="61A636D4" w:rsidR="00B72D11" w:rsidRPr="00B72D11" w:rsidRDefault="00B72D11" w:rsidP="00B72D11">
      <w:pPr>
        <w:pStyle w:val="a3"/>
        <w:spacing w:before="0" w:beforeAutospacing="0" w:after="360" w:afterAutospacing="0"/>
        <w:jc w:val="both"/>
        <w:rPr>
          <w:color w:val="303030"/>
          <w:sz w:val="28"/>
          <w:szCs w:val="28"/>
        </w:rPr>
      </w:pPr>
      <w:r w:rsidRPr="00B72D11">
        <w:rPr>
          <w:rStyle w:val="a4"/>
          <w:color w:val="303030"/>
          <w:sz w:val="28"/>
          <w:szCs w:val="28"/>
        </w:rPr>
        <w:t>а)  дата початку та строки здійснення процедури</w:t>
      </w:r>
      <w:r w:rsidRPr="00B72D11">
        <w:rPr>
          <w:color w:val="303030"/>
          <w:sz w:val="28"/>
          <w:szCs w:val="28"/>
        </w:rPr>
        <w:t xml:space="preserve">:  Відповідно до ст. 12 Закону України «Про стратегічну екологічну оцінку» громадське обговорення звіту зі стратегічної екологічної оцінки  </w:t>
      </w:r>
      <w:r w:rsidR="00A721E3">
        <w:rPr>
          <w:color w:val="303030"/>
          <w:sz w:val="28"/>
          <w:szCs w:val="28"/>
        </w:rPr>
        <w:t xml:space="preserve">Стратегії </w:t>
      </w:r>
      <w:r w:rsidRPr="00B72D11">
        <w:rPr>
          <w:color w:val="303030"/>
          <w:sz w:val="28"/>
          <w:szCs w:val="28"/>
        </w:rPr>
        <w:t>розпочато з дня його оприлюднення на сайті Миколаївської міської ради  </w:t>
      </w:r>
      <w:hyperlink r:id="rId4" w:history="1">
        <w:r w:rsidRPr="00B72D11">
          <w:rPr>
            <w:rStyle w:val="a5"/>
            <w:color w:val="347FAC"/>
            <w:sz w:val="28"/>
            <w:szCs w:val="28"/>
          </w:rPr>
          <w:t>https://mkrada.gov.ua/content/ekonomika-ta-finansi.html</w:t>
        </w:r>
      </w:hyperlink>
      <w:r w:rsidRPr="00B72D11">
        <w:rPr>
          <w:color w:val="303030"/>
          <w:sz w:val="28"/>
          <w:szCs w:val="28"/>
        </w:rPr>
        <w:t xml:space="preserve"> розділ </w:t>
      </w:r>
      <w:r w:rsidR="00184EF2">
        <w:rPr>
          <w:color w:val="303030"/>
          <w:sz w:val="28"/>
          <w:szCs w:val="28"/>
        </w:rPr>
        <w:t>«</w:t>
      </w:r>
      <w:r w:rsidRPr="00B72D11">
        <w:rPr>
          <w:color w:val="303030"/>
          <w:sz w:val="28"/>
          <w:szCs w:val="28"/>
        </w:rPr>
        <w:t xml:space="preserve">Інвестиційна та зовнішньоекономічна діяльність» з </w:t>
      </w:r>
      <w:r w:rsidR="00184EF2">
        <w:rPr>
          <w:color w:val="303030"/>
          <w:sz w:val="28"/>
          <w:szCs w:val="28"/>
        </w:rPr>
        <w:t>0</w:t>
      </w:r>
      <w:r w:rsidR="002550E2">
        <w:rPr>
          <w:color w:val="303030"/>
          <w:sz w:val="28"/>
          <w:szCs w:val="28"/>
        </w:rPr>
        <w:t>7</w:t>
      </w:r>
      <w:r w:rsidRPr="00B72D11">
        <w:rPr>
          <w:color w:val="303030"/>
          <w:sz w:val="28"/>
          <w:szCs w:val="28"/>
        </w:rPr>
        <w:t xml:space="preserve">  </w:t>
      </w:r>
      <w:r w:rsidR="00184EF2">
        <w:rPr>
          <w:color w:val="303030"/>
          <w:sz w:val="28"/>
          <w:szCs w:val="28"/>
        </w:rPr>
        <w:t>лютого</w:t>
      </w:r>
      <w:r w:rsidRPr="00B72D11">
        <w:rPr>
          <w:color w:val="303030"/>
          <w:sz w:val="28"/>
          <w:szCs w:val="28"/>
        </w:rPr>
        <w:t xml:space="preserve"> 202</w:t>
      </w:r>
      <w:r w:rsidR="007C1B4F">
        <w:rPr>
          <w:color w:val="303030"/>
          <w:sz w:val="28"/>
          <w:szCs w:val="28"/>
        </w:rPr>
        <w:t>4</w:t>
      </w:r>
      <w:r w:rsidRPr="00B72D11">
        <w:rPr>
          <w:color w:val="303030"/>
          <w:sz w:val="28"/>
          <w:szCs w:val="28"/>
        </w:rPr>
        <w:t xml:space="preserve"> року  та триватиме до </w:t>
      </w:r>
      <w:r w:rsidR="00184EF2">
        <w:rPr>
          <w:color w:val="303030"/>
          <w:sz w:val="28"/>
          <w:szCs w:val="28"/>
        </w:rPr>
        <w:t>0</w:t>
      </w:r>
      <w:r w:rsidR="002550E2">
        <w:rPr>
          <w:color w:val="303030"/>
          <w:sz w:val="28"/>
          <w:szCs w:val="28"/>
        </w:rPr>
        <w:t>7</w:t>
      </w:r>
      <w:r w:rsidR="00184EF2">
        <w:rPr>
          <w:color w:val="303030"/>
          <w:sz w:val="28"/>
          <w:szCs w:val="28"/>
        </w:rPr>
        <w:t xml:space="preserve"> </w:t>
      </w:r>
      <w:r w:rsidR="00B97050">
        <w:rPr>
          <w:color w:val="303030"/>
          <w:sz w:val="28"/>
          <w:szCs w:val="28"/>
        </w:rPr>
        <w:t>березня</w:t>
      </w:r>
      <w:r w:rsidR="00184EF2">
        <w:rPr>
          <w:color w:val="303030"/>
          <w:sz w:val="28"/>
          <w:szCs w:val="28"/>
        </w:rPr>
        <w:t xml:space="preserve"> 2024 року</w:t>
      </w:r>
      <w:r w:rsidR="000B73D5">
        <w:rPr>
          <w:color w:val="303030"/>
          <w:sz w:val="28"/>
          <w:szCs w:val="28"/>
        </w:rPr>
        <w:t xml:space="preserve"> включно</w:t>
      </w:r>
      <w:r w:rsidRPr="00B72D11">
        <w:rPr>
          <w:color w:val="303030"/>
          <w:sz w:val="28"/>
          <w:szCs w:val="28"/>
        </w:rPr>
        <w:t>.</w:t>
      </w:r>
    </w:p>
    <w:p w14:paraId="42F4CD05" w14:textId="1F37CB8C" w:rsidR="00B72D11" w:rsidRPr="00B72D11" w:rsidRDefault="00B72D11" w:rsidP="00B72D11">
      <w:pPr>
        <w:pStyle w:val="a3"/>
        <w:spacing w:before="0" w:beforeAutospacing="0" w:after="360" w:afterAutospacing="0"/>
        <w:jc w:val="both"/>
        <w:rPr>
          <w:color w:val="303030"/>
          <w:sz w:val="28"/>
          <w:szCs w:val="28"/>
        </w:rPr>
      </w:pPr>
      <w:r w:rsidRPr="00B72D11">
        <w:rPr>
          <w:rStyle w:val="a4"/>
          <w:color w:val="303030"/>
          <w:sz w:val="28"/>
          <w:szCs w:val="28"/>
        </w:rPr>
        <w:t>б) способи участі громадськості</w:t>
      </w:r>
      <w:r w:rsidRPr="00B72D11">
        <w:rPr>
          <w:color w:val="303030"/>
          <w:sz w:val="28"/>
          <w:szCs w:val="28"/>
        </w:rPr>
        <w:t> (надання письмових зауважень та пропозицій) − громадськість в межах строку громадського обговорення має право подати в письмовій формі, в тому числі в електронному вигляді, зауваження та пропозиції до документа державного планування та його звіту про стратегічну екологічну оцінку до департаменту економічного розвитку Миколаївської міської ради.</w:t>
      </w:r>
    </w:p>
    <w:p w14:paraId="446A2038" w14:textId="77777777" w:rsidR="00B72D11" w:rsidRPr="00B72D11" w:rsidRDefault="00B72D11" w:rsidP="00B72D11">
      <w:pPr>
        <w:pStyle w:val="a3"/>
        <w:spacing w:before="0" w:beforeAutospacing="0" w:after="360" w:afterAutospacing="0"/>
        <w:jc w:val="both"/>
        <w:rPr>
          <w:color w:val="303030"/>
          <w:sz w:val="28"/>
          <w:szCs w:val="28"/>
        </w:rPr>
      </w:pPr>
      <w:r w:rsidRPr="00B72D11">
        <w:rPr>
          <w:rStyle w:val="a4"/>
          <w:color w:val="303030"/>
          <w:sz w:val="28"/>
          <w:szCs w:val="28"/>
        </w:rPr>
        <w:t>в) дата, час і місце проведення запланованих громадських слухань</w:t>
      </w:r>
      <w:r w:rsidRPr="00B72D11">
        <w:rPr>
          <w:color w:val="303030"/>
          <w:sz w:val="28"/>
          <w:szCs w:val="28"/>
        </w:rPr>
        <w:t> (у разі проведення): проведення Громадських слухань не планується.</w:t>
      </w:r>
    </w:p>
    <w:p w14:paraId="3662D14C" w14:textId="157148CC" w:rsidR="00B72D11" w:rsidRPr="00B72D11" w:rsidRDefault="00B72D11" w:rsidP="00B72D11">
      <w:pPr>
        <w:pStyle w:val="a3"/>
        <w:spacing w:before="0" w:beforeAutospacing="0" w:after="360" w:afterAutospacing="0"/>
        <w:jc w:val="both"/>
        <w:rPr>
          <w:color w:val="303030"/>
          <w:sz w:val="28"/>
          <w:szCs w:val="28"/>
        </w:rPr>
      </w:pPr>
      <w:r w:rsidRPr="00B72D11">
        <w:rPr>
          <w:rStyle w:val="a4"/>
          <w:color w:val="303030"/>
          <w:sz w:val="28"/>
          <w:szCs w:val="28"/>
        </w:rPr>
        <w:t>г) орган від якого можна отримати інформацію </w:t>
      </w:r>
      <w:r w:rsidRPr="00B72D11">
        <w:rPr>
          <w:color w:val="303030"/>
          <w:sz w:val="28"/>
          <w:szCs w:val="28"/>
        </w:rPr>
        <w:t xml:space="preserve"> департамент економічного розвитку Миколаївської міської ради за  </w:t>
      </w:r>
      <w:proofErr w:type="spellStart"/>
      <w:r w:rsidRPr="00B72D11">
        <w:rPr>
          <w:color w:val="303030"/>
          <w:sz w:val="28"/>
          <w:szCs w:val="28"/>
        </w:rPr>
        <w:t>адресою</w:t>
      </w:r>
      <w:proofErr w:type="spellEnd"/>
      <w:r w:rsidRPr="00B72D11">
        <w:rPr>
          <w:color w:val="303030"/>
          <w:sz w:val="28"/>
          <w:szCs w:val="28"/>
        </w:rPr>
        <w:t xml:space="preserve">: 54001, </w:t>
      </w:r>
      <w:proofErr w:type="spellStart"/>
      <w:r w:rsidRPr="00B72D11">
        <w:rPr>
          <w:color w:val="303030"/>
          <w:sz w:val="28"/>
          <w:szCs w:val="28"/>
        </w:rPr>
        <w:t>м.Миколаїв</w:t>
      </w:r>
      <w:proofErr w:type="spellEnd"/>
      <w:r w:rsidRPr="00B72D11">
        <w:rPr>
          <w:color w:val="303030"/>
          <w:sz w:val="28"/>
          <w:szCs w:val="28"/>
        </w:rPr>
        <w:t xml:space="preserve">, </w:t>
      </w:r>
      <w:r w:rsidR="002B4FEB">
        <w:rPr>
          <w:color w:val="303030"/>
          <w:sz w:val="28"/>
          <w:szCs w:val="28"/>
        </w:rPr>
        <w:t xml:space="preserve">                        </w:t>
      </w:r>
      <w:r w:rsidRPr="00B72D11">
        <w:rPr>
          <w:color w:val="303030"/>
          <w:sz w:val="28"/>
          <w:szCs w:val="28"/>
        </w:rPr>
        <w:t>вул. Адміральська, 20 (електронна адреса: </w:t>
      </w:r>
      <w:hyperlink r:id="rId5" w:history="1">
        <w:r w:rsidRPr="00B72D11">
          <w:rPr>
            <w:rStyle w:val="a5"/>
            <w:color w:val="347FAC"/>
            <w:sz w:val="28"/>
            <w:szCs w:val="28"/>
          </w:rPr>
          <w:t>depeconom@mkrada.gov.ua</w:t>
        </w:r>
      </w:hyperlink>
      <w:r w:rsidRPr="00B72D11">
        <w:rPr>
          <w:color w:val="303030"/>
          <w:sz w:val="28"/>
          <w:szCs w:val="28"/>
        </w:rPr>
        <w:t xml:space="preserve">). З </w:t>
      </w:r>
      <w:proofErr w:type="spellStart"/>
      <w:r w:rsidRPr="00B72D11">
        <w:rPr>
          <w:color w:val="303030"/>
          <w:sz w:val="28"/>
          <w:szCs w:val="28"/>
        </w:rPr>
        <w:t>проєктом</w:t>
      </w:r>
      <w:proofErr w:type="spellEnd"/>
      <w:r w:rsidRPr="00B72D11">
        <w:rPr>
          <w:color w:val="303030"/>
          <w:sz w:val="28"/>
          <w:szCs w:val="28"/>
        </w:rPr>
        <w:t xml:space="preserve">  </w:t>
      </w:r>
      <w:r w:rsidR="00334F89">
        <w:rPr>
          <w:color w:val="303030"/>
          <w:sz w:val="28"/>
          <w:szCs w:val="28"/>
        </w:rPr>
        <w:t>Стратегії</w:t>
      </w:r>
      <w:r w:rsidRPr="00B72D11">
        <w:rPr>
          <w:color w:val="303030"/>
          <w:sz w:val="28"/>
          <w:szCs w:val="28"/>
        </w:rPr>
        <w:t xml:space="preserve"> та звітом про стратегічну екологічну оцінку можна ознайомитис</w:t>
      </w:r>
      <w:r w:rsidR="002B4FEB">
        <w:rPr>
          <w:color w:val="303030"/>
          <w:sz w:val="28"/>
          <w:szCs w:val="28"/>
        </w:rPr>
        <w:t>ь</w:t>
      </w:r>
      <w:r w:rsidRPr="00B72D11">
        <w:rPr>
          <w:color w:val="303030"/>
          <w:sz w:val="28"/>
          <w:szCs w:val="28"/>
        </w:rPr>
        <w:t xml:space="preserve"> за посиланням  </w:t>
      </w:r>
      <w:hyperlink r:id="rId6" w:history="1">
        <w:r w:rsidRPr="00B72D11">
          <w:rPr>
            <w:rStyle w:val="a5"/>
            <w:color w:val="347FAC"/>
            <w:sz w:val="28"/>
            <w:szCs w:val="28"/>
          </w:rPr>
          <w:t>https://mkrada.gov.ua/content/ekonomika-ta-finansi.html</w:t>
        </w:r>
      </w:hyperlink>
      <w:r w:rsidRPr="00B72D11">
        <w:rPr>
          <w:color w:val="303030"/>
          <w:sz w:val="28"/>
          <w:szCs w:val="28"/>
        </w:rPr>
        <w:t> розділ «Інвестиційна та зовнішньоекономічна діяльність».</w:t>
      </w:r>
    </w:p>
    <w:p w14:paraId="080418FE" w14:textId="26CCD805" w:rsidR="00B72D11" w:rsidRPr="00B72D11" w:rsidRDefault="00B72D11" w:rsidP="00B72D11">
      <w:pPr>
        <w:pStyle w:val="a3"/>
        <w:spacing w:before="0" w:beforeAutospacing="0" w:after="360" w:afterAutospacing="0"/>
        <w:jc w:val="both"/>
        <w:rPr>
          <w:color w:val="303030"/>
          <w:sz w:val="28"/>
          <w:szCs w:val="28"/>
        </w:rPr>
      </w:pPr>
      <w:r w:rsidRPr="00B72D11">
        <w:rPr>
          <w:rStyle w:val="a4"/>
          <w:color w:val="303030"/>
          <w:sz w:val="28"/>
          <w:szCs w:val="28"/>
        </w:rPr>
        <w:t>д)місцезнаходження наявної екологічної інформації, у тому числі пов’язаної зі здоров’ям населення, що</w:t>
      </w:r>
      <w:r w:rsidR="0050558C">
        <w:rPr>
          <w:rStyle w:val="a4"/>
          <w:color w:val="303030"/>
          <w:sz w:val="28"/>
          <w:szCs w:val="28"/>
        </w:rPr>
        <w:t xml:space="preserve"> </w:t>
      </w:r>
      <w:r w:rsidRPr="00B72D11">
        <w:rPr>
          <w:rStyle w:val="a4"/>
          <w:color w:val="303030"/>
          <w:sz w:val="28"/>
          <w:szCs w:val="28"/>
        </w:rPr>
        <w:t>стосується документа державного планування </w:t>
      </w:r>
      <w:r w:rsidRPr="00B72D11">
        <w:rPr>
          <w:color w:val="303030"/>
          <w:sz w:val="28"/>
          <w:szCs w:val="28"/>
        </w:rPr>
        <w:t xml:space="preserve">департамент економічного розвитку Миколаївської міської ради: 54001, </w:t>
      </w:r>
      <w:proofErr w:type="spellStart"/>
      <w:r w:rsidRPr="00B72D11">
        <w:rPr>
          <w:color w:val="303030"/>
          <w:sz w:val="28"/>
          <w:szCs w:val="28"/>
        </w:rPr>
        <w:t>м.Миколаїв</w:t>
      </w:r>
      <w:proofErr w:type="spellEnd"/>
      <w:r w:rsidRPr="00B72D11">
        <w:rPr>
          <w:color w:val="303030"/>
          <w:sz w:val="28"/>
          <w:szCs w:val="28"/>
        </w:rPr>
        <w:t>, вул. Адміральська,</w:t>
      </w:r>
      <w:r w:rsidR="002B68C6">
        <w:rPr>
          <w:color w:val="303030"/>
          <w:sz w:val="28"/>
          <w:szCs w:val="28"/>
        </w:rPr>
        <w:t xml:space="preserve"> </w:t>
      </w:r>
      <w:r w:rsidRPr="00B72D11">
        <w:rPr>
          <w:color w:val="303030"/>
          <w:sz w:val="28"/>
          <w:szCs w:val="28"/>
        </w:rPr>
        <w:t>20.</w:t>
      </w:r>
    </w:p>
    <w:p w14:paraId="203F8D96" w14:textId="77777777" w:rsidR="00B72D11" w:rsidRPr="00B72D11" w:rsidRDefault="00B72D11" w:rsidP="00B72D11">
      <w:pPr>
        <w:pStyle w:val="a3"/>
        <w:spacing w:before="0" w:beforeAutospacing="0" w:after="360" w:afterAutospacing="0"/>
        <w:jc w:val="both"/>
        <w:rPr>
          <w:color w:val="303030"/>
          <w:sz w:val="28"/>
          <w:szCs w:val="28"/>
        </w:rPr>
      </w:pPr>
      <w:r w:rsidRPr="00B72D11">
        <w:rPr>
          <w:rStyle w:val="a4"/>
          <w:color w:val="303030"/>
          <w:sz w:val="28"/>
          <w:szCs w:val="28"/>
        </w:rPr>
        <w:lastRenderedPageBreak/>
        <w:t>є) орган, до якого подаються зауваження і пропозиції</w:t>
      </w:r>
      <w:r w:rsidRPr="00B72D11">
        <w:rPr>
          <w:color w:val="303030"/>
          <w:sz w:val="28"/>
          <w:szCs w:val="28"/>
        </w:rPr>
        <w:t xml:space="preserve">, поштова та електронна адреси та строки подання зауважень і пропозицій: до департаменту економічного розвитку Миколаївської міської ради на поштову адресу: 54001, </w:t>
      </w:r>
      <w:proofErr w:type="spellStart"/>
      <w:r w:rsidRPr="00B72D11">
        <w:rPr>
          <w:color w:val="303030"/>
          <w:sz w:val="28"/>
          <w:szCs w:val="28"/>
        </w:rPr>
        <w:t>м.Миколаїв</w:t>
      </w:r>
      <w:proofErr w:type="spellEnd"/>
      <w:r w:rsidRPr="00B72D11">
        <w:rPr>
          <w:color w:val="303030"/>
          <w:sz w:val="28"/>
          <w:szCs w:val="28"/>
        </w:rPr>
        <w:t>, вул. Адміральська, 20 або на електронну адресу: depeconom@mkrada.gov.ua.</w:t>
      </w:r>
    </w:p>
    <w:p w14:paraId="412767A4" w14:textId="17DABF8F" w:rsidR="00B72D11" w:rsidRPr="00B72D11" w:rsidRDefault="00B72D11" w:rsidP="00B72D11">
      <w:pPr>
        <w:pStyle w:val="a3"/>
        <w:spacing w:before="0" w:beforeAutospacing="0" w:after="360" w:afterAutospacing="0"/>
        <w:jc w:val="both"/>
        <w:rPr>
          <w:color w:val="303030"/>
          <w:sz w:val="28"/>
          <w:szCs w:val="28"/>
        </w:rPr>
      </w:pPr>
      <w:r w:rsidRPr="00B72D11">
        <w:rPr>
          <w:color w:val="303030"/>
          <w:sz w:val="28"/>
          <w:szCs w:val="28"/>
        </w:rPr>
        <w:t xml:space="preserve">Зауваження та пропозиції подаються протягом 30 днів з дня оприлюднення повідомлення, з </w:t>
      </w:r>
      <w:r w:rsidR="00184EF2">
        <w:rPr>
          <w:color w:val="303030"/>
          <w:sz w:val="28"/>
          <w:szCs w:val="28"/>
        </w:rPr>
        <w:t>0</w:t>
      </w:r>
      <w:r w:rsidR="00F12B9B">
        <w:rPr>
          <w:color w:val="303030"/>
          <w:sz w:val="28"/>
          <w:szCs w:val="28"/>
        </w:rPr>
        <w:t>7</w:t>
      </w:r>
      <w:r w:rsidRPr="00B72D11">
        <w:rPr>
          <w:color w:val="303030"/>
          <w:sz w:val="28"/>
          <w:szCs w:val="28"/>
        </w:rPr>
        <w:t>.</w:t>
      </w:r>
      <w:r w:rsidR="007C1B4F">
        <w:rPr>
          <w:color w:val="303030"/>
          <w:sz w:val="28"/>
          <w:szCs w:val="28"/>
        </w:rPr>
        <w:t>0</w:t>
      </w:r>
      <w:r w:rsidR="00184EF2">
        <w:rPr>
          <w:color w:val="303030"/>
          <w:sz w:val="28"/>
          <w:szCs w:val="28"/>
        </w:rPr>
        <w:t>2</w:t>
      </w:r>
      <w:r w:rsidRPr="00B72D11">
        <w:rPr>
          <w:color w:val="303030"/>
          <w:sz w:val="28"/>
          <w:szCs w:val="28"/>
        </w:rPr>
        <w:t>.202</w:t>
      </w:r>
      <w:r w:rsidR="007C1B4F">
        <w:rPr>
          <w:color w:val="303030"/>
          <w:sz w:val="28"/>
          <w:szCs w:val="28"/>
        </w:rPr>
        <w:t>4</w:t>
      </w:r>
      <w:r w:rsidRPr="00B72D11">
        <w:rPr>
          <w:color w:val="303030"/>
          <w:sz w:val="28"/>
          <w:szCs w:val="28"/>
        </w:rPr>
        <w:t xml:space="preserve">  </w:t>
      </w:r>
      <w:r w:rsidR="006718BB">
        <w:rPr>
          <w:color w:val="303030"/>
          <w:sz w:val="28"/>
          <w:szCs w:val="28"/>
        </w:rPr>
        <w:t>д</w:t>
      </w:r>
      <w:r w:rsidR="003B4234">
        <w:rPr>
          <w:color w:val="303030"/>
          <w:sz w:val="28"/>
          <w:szCs w:val="28"/>
        </w:rPr>
        <w:t>о</w:t>
      </w:r>
      <w:r w:rsidRPr="00B72D11">
        <w:rPr>
          <w:color w:val="303030"/>
          <w:sz w:val="28"/>
          <w:szCs w:val="28"/>
        </w:rPr>
        <w:t xml:space="preserve"> </w:t>
      </w:r>
      <w:r w:rsidR="00184EF2">
        <w:rPr>
          <w:color w:val="303030"/>
          <w:sz w:val="28"/>
          <w:szCs w:val="28"/>
        </w:rPr>
        <w:t>0</w:t>
      </w:r>
      <w:r w:rsidR="00F12B9B">
        <w:rPr>
          <w:color w:val="303030"/>
          <w:sz w:val="28"/>
          <w:szCs w:val="28"/>
        </w:rPr>
        <w:t>7</w:t>
      </w:r>
      <w:r w:rsidRPr="00B72D11">
        <w:rPr>
          <w:color w:val="303030"/>
          <w:sz w:val="28"/>
          <w:szCs w:val="28"/>
        </w:rPr>
        <w:t>.</w:t>
      </w:r>
      <w:r w:rsidR="00A721E3">
        <w:rPr>
          <w:color w:val="303030"/>
          <w:sz w:val="28"/>
          <w:szCs w:val="28"/>
        </w:rPr>
        <w:t>0</w:t>
      </w:r>
      <w:r w:rsidR="00184EF2">
        <w:rPr>
          <w:color w:val="303030"/>
          <w:sz w:val="28"/>
          <w:szCs w:val="28"/>
        </w:rPr>
        <w:t>3</w:t>
      </w:r>
      <w:r w:rsidRPr="00B72D11">
        <w:rPr>
          <w:color w:val="303030"/>
          <w:sz w:val="28"/>
          <w:szCs w:val="28"/>
        </w:rPr>
        <w:t>.202</w:t>
      </w:r>
      <w:r w:rsidR="00A721E3">
        <w:rPr>
          <w:color w:val="303030"/>
          <w:sz w:val="28"/>
          <w:szCs w:val="28"/>
        </w:rPr>
        <w:t>4</w:t>
      </w:r>
      <w:r w:rsidR="006771F4">
        <w:rPr>
          <w:color w:val="303030"/>
          <w:sz w:val="28"/>
          <w:szCs w:val="28"/>
        </w:rPr>
        <w:t xml:space="preserve"> включно</w:t>
      </w:r>
      <w:r w:rsidRPr="00B72D11">
        <w:rPr>
          <w:color w:val="303030"/>
          <w:sz w:val="28"/>
          <w:szCs w:val="28"/>
        </w:rPr>
        <w:t>.</w:t>
      </w:r>
    </w:p>
    <w:p w14:paraId="1FBFE89B" w14:textId="78C681D0" w:rsidR="00B72D11" w:rsidRPr="00B72D11" w:rsidRDefault="00B72D11" w:rsidP="00B72D11">
      <w:pPr>
        <w:pStyle w:val="a3"/>
        <w:spacing w:before="0" w:beforeAutospacing="0" w:after="360" w:afterAutospacing="0"/>
        <w:jc w:val="both"/>
        <w:rPr>
          <w:color w:val="303030"/>
          <w:sz w:val="28"/>
          <w:szCs w:val="28"/>
        </w:rPr>
      </w:pPr>
      <w:r w:rsidRPr="00B72D11">
        <w:rPr>
          <w:color w:val="303030"/>
          <w:sz w:val="28"/>
          <w:szCs w:val="28"/>
        </w:rPr>
        <w:t> </w:t>
      </w:r>
      <w:r w:rsidRPr="00B72D11">
        <w:rPr>
          <w:rStyle w:val="a4"/>
          <w:color w:val="303030"/>
          <w:sz w:val="28"/>
          <w:szCs w:val="28"/>
        </w:rPr>
        <w:t>4. Необхідність проведення транскордонних консультацій щодо про</w:t>
      </w:r>
      <w:r w:rsidR="003B4234">
        <w:rPr>
          <w:rStyle w:val="a4"/>
          <w:color w:val="303030"/>
          <w:sz w:val="28"/>
          <w:szCs w:val="28"/>
        </w:rPr>
        <w:t>є</w:t>
      </w:r>
      <w:r w:rsidRPr="00B72D11">
        <w:rPr>
          <w:rStyle w:val="a4"/>
          <w:color w:val="303030"/>
          <w:sz w:val="28"/>
          <w:szCs w:val="28"/>
        </w:rPr>
        <w:t>кту документа державного планування</w:t>
      </w:r>
      <w:r w:rsidRPr="00B72D11">
        <w:rPr>
          <w:color w:val="303030"/>
          <w:sz w:val="28"/>
          <w:szCs w:val="28"/>
        </w:rPr>
        <w:t>  відсутня.</w:t>
      </w:r>
    </w:p>
    <w:p w14:paraId="204B369C" w14:textId="77777777" w:rsidR="00DC7FF9" w:rsidRPr="00B72D11" w:rsidRDefault="00DC7FF9">
      <w:pPr>
        <w:rPr>
          <w:rFonts w:ascii="Times New Roman" w:hAnsi="Times New Roman" w:cs="Times New Roman"/>
          <w:sz w:val="28"/>
          <w:szCs w:val="28"/>
        </w:rPr>
      </w:pPr>
    </w:p>
    <w:sectPr w:rsidR="00DC7FF9" w:rsidRPr="00B72D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11"/>
    <w:rsid w:val="000B73D5"/>
    <w:rsid w:val="000E28E1"/>
    <w:rsid w:val="00184EF2"/>
    <w:rsid w:val="00216C14"/>
    <w:rsid w:val="002550E2"/>
    <w:rsid w:val="002B4FEB"/>
    <w:rsid w:val="002B68C6"/>
    <w:rsid w:val="002C0477"/>
    <w:rsid w:val="00334F89"/>
    <w:rsid w:val="00385850"/>
    <w:rsid w:val="003B4234"/>
    <w:rsid w:val="0040797F"/>
    <w:rsid w:val="0050558C"/>
    <w:rsid w:val="00544630"/>
    <w:rsid w:val="005F07AD"/>
    <w:rsid w:val="006718BB"/>
    <w:rsid w:val="006771F4"/>
    <w:rsid w:val="006F05A8"/>
    <w:rsid w:val="006F1EEF"/>
    <w:rsid w:val="00727290"/>
    <w:rsid w:val="00786D42"/>
    <w:rsid w:val="007B7385"/>
    <w:rsid w:val="007C1B4F"/>
    <w:rsid w:val="007C4C9C"/>
    <w:rsid w:val="00866E39"/>
    <w:rsid w:val="008A13CF"/>
    <w:rsid w:val="008B2EA5"/>
    <w:rsid w:val="009F031D"/>
    <w:rsid w:val="00A47B36"/>
    <w:rsid w:val="00A721E3"/>
    <w:rsid w:val="00B0500C"/>
    <w:rsid w:val="00B304A8"/>
    <w:rsid w:val="00B72D11"/>
    <w:rsid w:val="00B97050"/>
    <w:rsid w:val="00DC7FF9"/>
    <w:rsid w:val="00E701BA"/>
    <w:rsid w:val="00EB33E7"/>
    <w:rsid w:val="00EC3857"/>
    <w:rsid w:val="00F12B9B"/>
    <w:rsid w:val="00FA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C2C3"/>
  <w15:docId w15:val="{33EC2E13-10D6-4163-9E14-3B4EE165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72D11"/>
    <w:rPr>
      <w:b/>
      <w:bCs/>
    </w:rPr>
  </w:style>
  <w:style w:type="character" w:styleId="a5">
    <w:name w:val="Hyperlink"/>
    <w:basedOn w:val="a0"/>
    <w:uiPriority w:val="99"/>
    <w:semiHidden/>
    <w:unhideWhenUsed/>
    <w:rsid w:val="00B72D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krada.gov.ua/content/ekonomika-ta-finansi.html" TargetMode="External"/><Relationship Id="rId5" Type="http://schemas.openxmlformats.org/officeDocument/2006/relationships/hyperlink" Target="mailto:depeconom@mkrada.gov.ua" TargetMode="External"/><Relationship Id="rId4" Type="http://schemas.openxmlformats.org/officeDocument/2006/relationships/hyperlink" Target="https://mkrada.gov.ua/content/ekonomika-ta-finans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2</Pages>
  <Words>2105</Words>
  <Characters>1200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user519s</cp:lastModifiedBy>
  <cp:revision>22</cp:revision>
  <dcterms:created xsi:type="dcterms:W3CDTF">2023-12-29T10:30:00Z</dcterms:created>
  <dcterms:modified xsi:type="dcterms:W3CDTF">2024-02-07T10:56:00Z</dcterms:modified>
</cp:coreProperties>
</file>