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7FE" w:rsidRDefault="002937FE" w:rsidP="002937FE">
      <w:pPr>
        <w:pStyle w:val="Default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Заходи, </w:t>
      </w:r>
    </w:p>
    <w:p w:rsidR="002937FE" w:rsidRDefault="002937FE" w:rsidP="002937FE">
      <w:pPr>
        <w:pStyle w:val="Default"/>
        <w:jc w:val="center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</w:rPr>
        <w:t>передбачені</w:t>
      </w:r>
      <w:proofErr w:type="spellEnd"/>
      <w:r>
        <w:rPr>
          <w:b/>
          <w:bCs/>
          <w:sz w:val="28"/>
          <w:szCs w:val="28"/>
        </w:rPr>
        <w:t xml:space="preserve"> для </w:t>
      </w:r>
      <w:proofErr w:type="spellStart"/>
      <w:r>
        <w:rPr>
          <w:b/>
          <w:bCs/>
          <w:sz w:val="28"/>
          <w:szCs w:val="28"/>
        </w:rPr>
        <w:t>здійснення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моніторингу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наслідків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виконання</w:t>
      </w:r>
      <w:proofErr w:type="spellEnd"/>
      <w:r>
        <w:rPr>
          <w:b/>
          <w:bCs/>
          <w:sz w:val="28"/>
          <w:szCs w:val="28"/>
        </w:rPr>
        <w:t xml:space="preserve"> документа державного </w:t>
      </w:r>
      <w:proofErr w:type="spellStart"/>
      <w:r>
        <w:rPr>
          <w:b/>
          <w:bCs/>
          <w:sz w:val="28"/>
          <w:szCs w:val="28"/>
        </w:rPr>
        <w:t>планування</w:t>
      </w:r>
      <w:proofErr w:type="spellEnd"/>
      <w:r>
        <w:rPr>
          <w:b/>
          <w:bCs/>
          <w:sz w:val="28"/>
          <w:szCs w:val="28"/>
        </w:rPr>
        <w:t xml:space="preserve"> для </w:t>
      </w:r>
      <w:proofErr w:type="spellStart"/>
      <w:r>
        <w:rPr>
          <w:b/>
          <w:bCs/>
          <w:sz w:val="28"/>
          <w:szCs w:val="28"/>
        </w:rPr>
        <w:t>довкілля</w:t>
      </w:r>
      <w:proofErr w:type="spellEnd"/>
      <w:r>
        <w:rPr>
          <w:b/>
          <w:bCs/>
          <w:sz w:val="28"/>
          <w:szCs w:val="28"/>
        </w:rPr>
        <w:t xml:space="preserve">, у тому </w:t>
      </w:r>
      <w:proofErr w:type="spellStart"/>
      <w:r>
        <w:rPr>
          <w:b/>
          <w:bCs/>
          <w:sz w:val="28"/>
          <w:szCs w:val="28"/>
        </w:rPr>
        <w:t>числі</w:t>
      </w:r>
      <w:proofErr w:type="spellEnd"/>
      <w:r>
        <w:rPr>
          <w:b/>
          <w:bCs/>
          <w:sz w:val="28"/>
          <w:szCs w:val="28"/>
        </w:rPr>
        <w:t xml:space="preserve"> для </w:t>
      </w:r>
      <w:proofErr w:type="spellStart"/>
      <w:r>
        <w:rPr>
          <w:b/>
          <w:bCs/>
          <w:sz w:val="28"/>
          <w:szCs w:val="28"/>
        </w:rPr>
        <w:t>здоров’я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населення</w:t>
      </w:r>
      <w:proofErr w:type="spellEnd"/>
    </w:p>
    <w:p w:rsidR="002937FE" w:rsidRPr="002937FE" w:rsidRDefault="002937FE" w:rsidP="002937FE">
      <w:pPr>
        <w:pStyle w:val="Default"/>
        <w:jc w:val="center"/>
        <w:rPr>
          <w:sz w:val="28"/>
          <w:szCs w:val="28"/>
          <w:lang w:val="uk-UA"/>
        </w:rPr>
      </w:pPr>
    </w:p>
    <w:p w:rsidR="00894524" w:rsidRPr="00894524" w:rsidRDefault="00894524" w:rsidP="002937FE">
      <w:pPr>
        <w:pStyle w:val="Default"/>
        <w:ind w:firstLine="708"/>
        <w:jc w:val="both"/>
        <w:rPr>
          <w:sz w:val="28"/>
          <w:szCs w:val="28"/>
        </w:rPr>
      </w:pPr>
      <w:r w:rsidRPr="00894524">
        <w:rPr>
          <w:sz w:val="28"/>
          <w:szCs w:val="28"/>
          <w:lang w:val="uk-UA"/>
        </w:rPr>
        <w:t xml:space="preserve">Система моніторингу довкілля – це система спостережень, збирання, оброблення, передавання, збереження та аналізу інформації про стан довкілля, прогнозування його змін і розроблення науково-обґрунтованих рекомендацій для прийняття рішень про запобігання негативним змінам стану довкілля та дотримання вимог екологічної безпеки. </w:t>
      </w:r>
      <w:r w:rsidRPr="00894524">
        <w:rPr>
          <w:sz w:val="28"/>
          <w:szCs w:val="28"/>
        </w:rPr>
        <w:t xml:space="preserve">При </w:t>
      </w:r>
      <w:proofErr w:type="spellStart"/>
      <w:r w:rsidRPr="00894524">
        <w:rPr>
          <w:sz w:val="28"/>
          <w:szCs w:val="28"/>
        </w:rPr>
        <w:t>здійсненні</w:t>
      </w:r>
      <w:proofErr w:type="spellEnd"/>
      <w:r w:rsidRPr="00894524">
        <w:rPr>
          <w:sz w:val="28"/>
          <w:szCs w:val="28"/>
        </w:rPr>
        <w:t xml:space="preserve"> </w:t>
      </w:r>
      <w:proofErr w:type="spellStart"/>
      <w:r w:rsidRPr="00894524">
        <w:rPr>
          <w:sz w:val="28"/>
          <w:szCs w:val="28"/>
        </w:rPr>
        <w:t>моніторингу</w:t>
      </w:r>
      <w:proofErr w:type="spellEnd"/>
      <w:r w:rsidRPr="00894524">
        <w:rPr>
          <w:sz w:val="28"/>
          <w:szCs w:val="28"/>
        </w:rPr>
        <w:t xml:space="preserve"> </w:t>
      </w:r>
      <w:proofErr w:type="spellStart"/>
      <w:r w:rsidRPr="00894524">
        <w:rPr>
          <w:sz w:val="28"/>
          <w:szCs w:val="28"/>
        </w:rPr>
        <w:t>основну</w:t>
      </w:r>
      <w:proofErr w:type="spellEnd"/>
      <w:r w:rsidRPr="00894524">
        <w:rPr>
          <w:sz w:val="28"/>
          <w:szCs w:val="28"/>
        </w:rPr>
        <w:t xml:space="preserve"> </w:t>
      </w:r>
      <w:proofErr w:type="spellStart"/>
      <w:r w:rsidRPr="00894524">
        <w:rPr>
          <w:sz w:val="28"/>
          <w:szCs w:val="28"/>
        </w:rPr>
        <w:t>увагу</w:t>
      </w:r>
      <w:proofErr w:type="spellEnd"/>
      <w:r w:rsidRPr="00894524">
        <w:rPr>
          <w:sz w:val="28"/>
          <w:szCs w:val="28"/>
        </w:rPr>
        <w:t xml:space="preserve"> </w:t>
      </w:r>
      <w:proofErr w:type="spellStart"/>
      <w:r w:rsidRPr="00894524">
        <w:rPr>
          <w:sz w:val="28"/>
          <w:szCs w:val="28"/>
        </w:rPr>
        <w:t>належить</w:t>
      </w:r>
      <w:proofErr w:type="spellEnd"/>
      <w:r w:rsidRPr="00894524">
        <w:rPr>
          <w:sz w:val="28"/>
          <w:szCs w:val="28"/>
        </w:rPr>
        <w:t xml:space="preserve"> </w:t>
      </w:r>
      <w:proofErr w:type="spellStart"/>
      <w:r w:rsidRPr="00894524">
        <w:rPr>
          <w:sz w:val="28"/>
          <w:szCs w:val="28"/>
        </w:rPr>
        <w:t>приділяти</w:t>
      </w:r>
      <w:proofErr w:type="spellEnd"/>
      <w:r w:rsidRPr="00894524">
        <w:rPr>
          <w:sz w:val="28"/>
          <w:szCs w:val="28"/>
        </w:rPr>
        <w:t xml:space="preserve"> заходам </w:t>
      </w:r>
      <w:proofErr w:type="spellStart"/>
      <w:r w:rsidRPr="00894524">
        <w:rPr>
          <w:sz w:val="28"/>
          <w:szCs w:val="28"/>
        </w:rPr>
        <w:t>передбаченим</w:t>
      </w:r>
      <w:proofErr w:type="spellEnd"/>
      <w:r w:rsidRPr="00894524">
        <w:rPr>
          <w:sz w:val="28"/>
          <w:szCs w:val="28"/>
        </w:rPr>
        <w:t xml:space="preserve"> в </w:t>
      </w:r>
      <w:proofErr w:type="spellStart"/>
      <w:r w:rsidRPr="00894524">
        <w:rPr>
          <w:sz w:val="28"/>
          <w:szCs w:val="28"/>
        </w:rPr>
        <w:t>сфері</w:t>
      </w:r>
      <w:proofErr w:type="spellEnd"/>
      <w:r w:rsidRPr="00894524">
        <w:rPr>
          <w:sz w:val="28"/>
          <w:szCs w:val="28"/>
        </w:rPr>
        <w:t xml:space="preserve"> </w:t>
      </w:r>
      <w:proofErr w:type="spellStart"/>
      <w:r w:rsidRPr="00894524">
        <w:rPr>
          <w:sz w:val="28"/>
          <w:szCs w:val="28"/>
        </w:rPr>
        <w:t>охороні</w:t>
      </w:r>
      <w:proofErr w:type="spellEnd"/>
      <w:r w:rsidRPr="00894524">
        <w:rPr>
          <w:sz w:val="28"/>
          <w:szCs w:val="28"/>
        </w:rPr>
        <w:t xml:space="preserve"> </w:t>
      </w:r>
      <w:proofErr w:type="spellStart"/>
      <w:r w:rsidRPr="00894524">
        <w:rPr>
          <w:sz w:val="28"/>
          <w:szCs w:val="28"/>
        </w:rPr>
        <w:t>навколишнього</w:t>
      </w:r>
      <w:proofErr w:type="spellEnd"/>
      <w:r w:rsidRPr="00894524">
        <w:rPr>
          <w:sz w:val="28"/>
          <w:szCs w:val="28"/>
        </w:rPr>
        <w:t xml:space="preserve"> природного </w:t>
      </w:r>
      <w:proofErr w:type="spellStart"/>
      <w:r w:rsidRPr="00894524">
        <w:rPr>
          <w:sz w:val="28"/>
          <w:szCs w:val="28"/>
        </w:rPr>
        <w:t>середовища</w:t>
      </w:r>
      <w:proofErr w:type="spellEnd"/>
      <w:r w:rsidRPr="00894524">
        <w:rPr>
          <w:sz w:val="28"/>
          <w:szCs w:val="28"/>
        </w:rPr>
        <w:t xml:space="preserve">. </w:t>
      </w:r>
      <w:proofErr w:type="spellStart"/>
      <w:r w:rsidRPr="00894524">
        <w:rPr>
          <w:sz w:val="28"/>
          <w:szCs w:val="28"/>
        </w:rPr>
        <w:t>Організація</w:t>
      </w:r>
      <w:proofErr w:type="spellEnd"/>
      <w:r w:rsidRPr="00894524">
        <w:rPr>
          <w:sz w:val="28"/>
          <w:szCs w:val="28"/>
        </w:rPr>
        <w:t xml:space="preserve"> </w:t>
      </w:r>
      <w:proofErr w:type="spellStart"/>
      <w:r w:rsidRPr="00894524">
        <w:rPr>
          <w:sz w:val="28"/>
          <w:szCs w:val="28"/>
        </w:rPr>
        <w:t>моніторингу</w:t>
      </w:r>
      <w:proofErr w:type="spellEnd"/>
      <w:r w:rsidRPr="00894524">
        <w:rPr>
          <w:sz w:val="28"/>
          <w:szCs w:val="28"/>
        </w:rPr>
        <w:t xml:space="preserve"> </w:t>
      </w:r>
      <w:proofErr w:type="spellStart"/>
      <w:r w:rsidRPr="00894524">
        <w:rPr>
          <w:sz w:val="28"/>
          <w:szCs w:val="28"/>
        </w:rPr>
        <w:t>вимагає</w:t>
      </w:r>
      <w:proofErr w:type="spellEnd"/>
      <w:r w:rsidRPr="00894524">
        <w:rPr>
          <w:sz w:val="28"/>
          <w:szCs w:val="28"/>
        </w:rPr>
        <w:t xml:space="preserve"> </w:t>
      </w:r>
      <w:proofErr w:type="spellStart"/>
      <w:r w:rsidRPr="00894524">
        <w:rPr>
          <w:sz w:val="28"/>
          <w:szCs w:val="28"/>
        </w:rPr>
        <w:t>визначення</w:t>
      </w:r>
      <w:proofErr w:type="spellEnd"/>
      <w:r w:rsidRPr="00894524">
        <w:rPr>
          <w:sz w:val="28"/>
          <w:szCs w:val="28"/>
        </w:rPr>
        <w:t xml:space="preserve"> того, </w:t>
      </w:r>
      <w:proofErr w:type="spellStart"/>
      <w:r w:rsidRPr="00894524">
        <w:rPr>
          <w:sz w:val="28"/>
          <w:szCs w:val="28"/>
        </w:rPr>
        <w:t>хто</w:t>
      </w:r>
      <w:proofErr w:type="spellEnd"/>
      <w:r w:rsidRPr="00894524">
        <w:rPr>
          <w:sz w:val="28"/>
          <w:szCs w:val="28"/>
        </w:rPr>
        <w:t xml:space="preserve"> повинен </w:t>
      </w:r>
      <w:proofErr w:type="spellStart"/>
      <w:r w:rsidRPr="00894524">
        <w:rPr>
          <w:sz w:val="28"/>
          <w:szCs w:val="28"/>
        </w:rPr>
        <w:t>здійснювати</w:t>
      </w:r>
      <w:proofErr w:type="spellEnd"/>
      <w:r w:rsidRPr="00894524">
        <w:rPr>
          <w:sz w:val="28"/>
          <w:szCs w:val="28"/>
        </w:rPr>
        <w:t xml:space="preserve"> </w:t>
      </w:r>
      <w:proofErr w:type="spellStart"/>
      <w:r w:rsidRPr="00894524">
        <w:rPr>
          <w:sz w:val="28"/>
          <w:szCs w:val="28"/>
        </w:rPr>
        <w:t>моніторинг</w:t>
      </w:r>
      <w:proofErr w:type="spellEnd"/>
      <w:r w:rsidRPr="00894524">
        <w:rPr>
          <w:sz w:val="28"/>
          <w:szCs w:val="28"/>
        </w:rPr>
        <w:t xml:space="preserve">, </w:t>
      </w:r>
      <w:proofErr w:type="spellStart"/>
      <w:r w:rsidRPr="00894524">
        <w:rPr>
          <w:sz w:val="28"/>
          <w:szCs w:val="28"/>
        </w:rPr>
        <w:t>хто</w:t>
      </w:r>
      <w:proofErr w:type="spellEnd"/>
      <w:r w:rsidRPr="00894524">
        <w:rPr>
          <w:sz w:val="28"/>
          <w:szCs w:val="28"/>
        </w:rPr>
        <w:t xml:space="preserve"> повинен </w:t>
      </w:r>
      <w:proofErr w:type="spellStart"/>
      <w:r w:rsidRPr="00894524">
        <w:rPr>
          <w:sz w:val="28"/>
          <w:szCs w:val="28"/>
        </w:rPr>
        <w:t>забезпечувати</w:t>
      </w:r>
      <w:proofErr w:type="spellEnd"/>
      <w:r w:rsidRPr="00894524">
        <w:rPr>
          <w:sz w:val="28"/>
          <w:szCs w:val="28"/>
        </w:rPr>
        <w:t xml:space="preserve"> доступ до </w:t>
      </w:r>
      <w:proofErr w:type="spellStart"/>
      <w:r w:rsidRPr="00894524">
        <w:rPr>
          <w:sz w:val="28"/>
          <w:szCs w:val="28"/>
        </w:rPr>
        <w:t>результатів</w:t>
      </w:r>
      <w:proofErr w:type="spellEnd"/>
      <w:r w:rsidRPr="00894524">
        <w:rPr>
          <w:sz w:val="28"/>
          <w:szCs w:val="28"/>
        </w:rPr>
        <w:t xml:space="preserve">, </w:t>
      </w:r>
      <w:proofErr w:type="spellStart"/>
      <w:r w:rsidRPr="00894524">
        <w:rPr>
          <w:sz w:val="28"/>
          <w:szCs w:val="28"/>
        </w:rPr>
        <w:t>що</w:t>
      </w:r>
      <w:proofErr w:type="spellEnd"/>
      <w:r w:rsidRPr="00894524">
        <w:rPr>
          <w:sz w:val="28"/>
          <w:szCs w:val="28"/>
        </w:rPr>
        <w:t xml:space="preserve"> </w:t>
      </w:r>
      <w:proofErr w:type="spellStart"/>
      <w:r w:rsidRPr="00894524">
        <w:rPr>
          <w:sz w:val="28"/>
          <w:szCs w:val="28"/>
        </w:rPr>
        <w:t>має</w:t>
      </w:r>
      <w:proofErr w:type="spellEnd"/>
      <w:r w:rsidRPr="00894524">
        <w:rPr>
          <w:sz w:val="28"/>
          <w:szCs w:val="28"/>
        </w:rPr>
        <w:t xml:space="preserve"> бути предметом </w:t>
      </w:r>
      <w:proofErr w:type="spellStart"/>
      <w:r w:rsidRPr="00894524">
        <w:rPr>
          <w:sz w:val="28"/>
          <w:szCs w:val="28"/>
        </w:rPr>
        <w:t>моніторингу</w:t>
      </w:r>
      <w:proofErr w:type="spellEnd"/>
      <w:r w:rsidRPr="00894524">
        <w:rPr>
          <w:sz w:val="28"/>
          <w:szCs w:val="28"/>
        </w:rPr>
        <w:t xml:space="preserve">, яка </w:t>
      </w:r>
      <w:proofErr w:type="spellStart"/>
      <w:r w:rsidRPr="00894524">
        <w:rPr>
          <w:sz w:val="28"/>
          <w:szCs w:val="28"/>
        </w:rPr>
        <w:t>інформація</w:t>
      </w:r>
      <w:proofErr w:type="spellEnd"/>
      <w:r w:rsidRPr="00894524">
        <w:rPr>
          <w:sz w:val="28"/>
          <w:szCs w:val="28"/>
        </w:rPr>
        <w:t xml:space="preserve"> повинна </w:t>
      </w:r>
      <w:proofErr w:type="spellStart"/>
      <w:r w:rsidRPr="00894524">
        <w:rPr>
          <w:sz w:val="28"/>
          <w:szCs w:val="28"/>
        </w:rPr>
        <w:t>оприлюднюватися</w:t>
      </w:r>
      <w:proofErr w:type="spellEnd"/>
      <w:r w:rsidRPr="00894524">
        <w:rPr>
          <w:sz w:val="28"/>
          <w:szCs w:val="28"/>
        </w:rPr>
        <w:t xml:space="preserve"> (</w:t>
      </w:r>
      <w:proofErr w:type="spellStart"/>
      <w:r w:rsidRPr="00894524">
        <w:rPr>
          <w:sz w:val="28"/>
          <w:szCs w:val="28"/>
        </w:rPr>
        <w:t>безпосередні</w:t>
      </w:r>
      <w:proofErr w:type="spellEnd"/>
      <w:r w:rsidRPr="00894524">
        <w:rPr>
          <w:sz w:val="28"/>
          <w:szCs w:val="28"/>
        </w:rPr>
        <w:t xml:space="preserve"> </w:t>
      </w:r>
      <w:proofErr w:type="spellStart"/>
      <w:r w:rsidRPr="00894524">
        <w:rPr>
          <w:sz w:val="28"/>
          <w:szCs w:val="28"/>
        </w:rPr>
        <w:t>дані</w:t>
      </w:r>
      <w:proofErr w:type="spellEnd"/>
      <w:r w:rsidRPr="00894524">
        <w:rPr>
          <w:sz w:val="28"/>
          <w:szCs w:val="28"/>
        </w:rPr>
        <w:t xml:space="preserve"> </w:t>
      </w:r>
      <w:proofErr w:type="spellStart"/>
      <w:r w:rsidRPr="00894524">
        <w:rPr>
          <w:sz w:val="28"/>
          <w:szCs w:val="28"/>
        </w:rPr>
        <w:t>вимірювань</w:t>
      </w:r>
      <w:proofErr w:type="spellEnd"/>
      <w:r w:rsidRPr="00894524">
        <w:rPr>
          <w:sz w:val="28"/>
          <w:szCs w:val="28"/>
        </w:rPr>
        <w:t xml:space="preserve"> </w:t>
      </w:r>
      <w:proofErr w:type="spellStart"/>
      <w:r w:rsidRPr="00894524">
        <w:rPr>
          <w:sz w:val="28"/>
          <w:szCs w:val="28"/>
        </w:rPr>
        <w:t>або</w:t>
      </w:r>
      <w:proofErr w:type="spellEnd"/>
      <w:r w:rsidRPr="00894524">
        <w:rPr>
          <w:sz w:val="28"/>
          <w:szCs w:val="28"/>
        </w:rPr>
        <w:t xml:space="preserve"> </w:t>
      </w:r>
      <w:proofErr w:type="spellStart"/>
      <w:r w:rsidRPr="00894524">
        <w:rPr>
          <w:sz w:val="28"/>
          <w:szCs w:val="28"/>
        </w:rPr>
        <w:t>результати</w:t>
      </w:r>
      <w:proofErr w:type="spellEnd"/>
      <w:r w:rsidRPr="00894524">
        <w:rPr>
          <w:sz w:val="28"/>
          <w:szCs w:val="28"/>
        </w:rPr>
        <w:t xml:space="preserve"> </w:t>
      </w:r>
      <w:proofErr w:type="spellStart"/>
      <w:r w:rsidRPr="00894524">
        <w:rPr>
          <w:sz w:val="28"/>
          <w:szCs w:val="28"/>
        </w:rPr>
        <w:t>їх</w:t>
      </w:r>
      <w:proofErr w:type="spellEnd"/>
      <w:r w:rsidRPr="00894524">
        <w:rPr>
          <w:sz w:val="28"/>
          <w:szCs w:val="28"/>
        </w:rPr>
        <w:t xml:space="preserve"> </w:t>
      </w:r>
      <w:proofErr w:type="spellStart"/>
      <w:r w:rsidRPr="00894524">
        <w:rPr>
          <w:sz w:val="28"/>
          <w:szCs w:val="28"/>
        </w:rPr>
        <w:t>аналізу</w:t>
      </w:r>
      <w:bookmarkStart w:id="0" w:name="_GoBack"/>
      <w:bookmarkEnd w:id="0"/>
      <w:proofErr w:type="spellEnd"/>
      <w:r w:rsidRPr="00894524">
        <w:rPr>
          <w:sz w:val="28"/>
          <w:szCs w:val="28"/>
        </w:rPr>
        <w:t xml:space="preserve">), де </w:t>
      </w:r>
      <w:proofErr w:type="spellStart"/>
      <w:r w:rsidRPr="00894524">
        <w:rPr>
          <w:sz w:val="28"/>
          <w:szCs w:val="28"/>
        </w:rPr>
        <w:t>слід</w:t>
      </w:r>
      <w:proofErr w:type="spellEnd"/>
      <w:r w:rsidRPr="00894524">
        <w:rPr>
          <w:sz w:val="28"/>
          <w:szCs w:val="28"/>
        </w:rPr>
        <w:t xml:space="preserve"> </w:t>
      </w:r>
      <w:proofErr w:type="spellStart"/>
      <w:r w:rsidRPr="00894524">
        <w:rPr>
          <w:sz w:val="28"/>
          <w:szCs w:val="28"/>
        </w:rPr>
        <w:t>здійснювати</w:t>
      </w:r>
      <w:proofErr w:type="spellEnd"/>
      <w:r w:rsidRPr="00894524">
        <w:rPr>
          <w:sz w:val="28"/>
          <w:szCs w:val="28"/>
        </w:rPr>
        <w:t xml:space="preserve"> </w:t>
      </w:r>
      <w:proofErr w:type="spellStart"/>
      <w:r w:rsidRPr="00894524">
        <w:rPr>
          <w:sz w:val="28"/>
          <w:szCs w:val="28"/>
        </w:rPr>
        <w:t>моніторинг</w:t>
      </w:r>
      <w:proofErr w:type="spellEnd"/>
      <w:r w:rsidRPr="00894524">
        <w:rPr>
          <w:sz w:val="28"/>
          <w:szCs w:val="28"/>
        </w:rPr>
        <w:t xml:space="preserve">, з </w:t>
      </w:r>
      <w:proofErr w:type="spellStart"/>
      <w:r w:rsidRPr="00894524">
        <w:rPr>
          <w:sz w:val="28"/>
          <w:szCs w:val="28"/>
        </w:rPr>
        <w:t>якою</w:t>
      </w:r>
      <w:proofErr w:type="spellEnd"/>
      <w:r w:rsidRPr="00894524">
        <w:rPr>
          <w:sz w:val="28"/>
          <w:szCs w:val="28"/>
        </w:rPr>
        <w:t xml:space="preserve"> </w:t>
      </w:r>
      <w:proofErr w:type="spellStart"/>
      <w:r w:rsidRPr="00894524">
        <w:rPr>
          <w:sz w:val="28"/>
          <w:szCs w:val="28"/>
        </w:rPr>
        <w:t>періодичністю</w:t>
      </w:r>
      <w:proofErr w:type="spellEnd"/>
      <w:r w:rsidRPr="00894524">
        <w:rPr>
          <w:sz w:val="28"/>
          <w:szCs w:val="28"/>
        </w:rPr>
        <w:t xml:space="preserve"> й </w:t>
      </w:r>
      <w:proofErr w:type="spellStart"/>
      <w:r w:rsidRPr="00894524">
        <w:rPr>
          <w:sz w:val="28"/>
          <w:szCs w:val="28"/>
        </w:rPr>
        <w:t>протягом</w:t>
      </w:r>
      <w:proofErr w:type="spellEnd"/>
      <w:r w:rsidRPr="00894524">
        <w:rPr>
          <w:sz w:val="28"/>
          <w:szCs w:val="28"/>
        </w:rPr>
        <w:t xml:space="preserve"> </w:t>
      </w:r>
      <w:proofErr w:type="spellStart"/>
      <w:r w:rsidRPr="00894524">
        <w:rPr>
          <w:sz w:val="28"/>
          <w:szCs w:val="28"/>
        </w:rPr>
        <w:t>якого</w:t>
      </w:r>
      <w:proofErr w:type="spellEnd"/>
      <w:r w:rsidRPr="00894524">
        <w:rPr>
          <w:sz w:val="28"/>
          <w:szCs w:val="28"/>
        </w:rPr>
        <w:t xml:space="preserve"> часу, коли </w:t>
      </w:r>
      <w:proofErr w:type="spellStart"/>
      <w:r w:rsidRPr="00894524">
        <w:rPr>
          <w:sz w:val="28"/>
          <w:szCs w:val="28"/>
        </w:rPr>
        <w:t>слід</w:t>
      </w:r>
      <w:proofErr w:type="spellEnd"/>
      <w:r w:rsidRPr="00894524">
        <w:rPr>
          <w:sz w:val="28"/>
          <w:szCs w:val="28"/>
        </w:rPr>
        <w:t xml:space="preserve"> </w:t>
      </w:r>
      <w:proofErr w:type="spellStart"/>
      <w:r w:rsidRPr="00894524">
        <w:rPr>
          <w:sz w:val="28"/>
          <w:szCs w:val="28"/>
        </w:rPr>
        <w:t>оприлюднити</w:t>
      </w:r>
      <w:proofErr w:type="spellEnd"/>
      <w:r w:rsidRPr="00894524">
        <w:rPr>
          <w:sz w:val="28"/>
          <w:szCs w:val="28"/>
        </w:rPr>
        <w:t xml:space="preserve"> </w:t>
      </w:r>
      <w:proofErr w:type="spellStart"/>
      <w:r w:rsidRPr="00894524">
        <w:rPr>
          <w:sz w:val="28"/>
          <w:szCs w:val="28"/>
        </w:rPr>
        <w:t>результати</w:t>
      </w:r>
      <w:proofErr w:type="spellEnd"/>
      <w:r w:rsidRPr="00894524">
        <w:rPr>
          <w:sz w:val="28"/>
          <w:szCs w:val="28"/>
        </w:rPr>
        <w:t xml:space="preserve">, </w:t>
      </w:r>
      <w:proofErr w:type="spellStart"/>
      <w:r w:rsidRPr="00894524">
        <w:rPr>
          <w:sz w:val="28"/>
          <w:szCs w:val="28"/>
        </w:rPr>
        <w:t>які</w:t>
      </w:r>
      <w:proofErr w:type="spellEnd"/>
      <w:r w:rsidRPr="00894524">
        <w:rPr>
          <w:sz w:val="28"/>
          <w:szCs w:val="28"/>
        </w:rPr>
        <w:t xml:space="preserve"> </w:t>
      </w:r>
      <w:proofErr w:type="spellStart"/>
      <w:r w:rsidRPr="00894524">
        <w:rPr>
          <w:sz w:val="28"/>
          <w:szCs w:val="28"/>
        </w:rPr>
        <w:t>методи</w:t>
      </w:r>
      <w:proofErr w:type="spellEnd"/>
      <w:r w:rsidRPr="00894524">
        <w:rPr>
          <w:sz w:val="28"/>
          <w:szCs w:val="28"/>
        </w:rPr>
        <w:t xml:space="preserve"> </w:t>
      </w:r>
      <w:proofErr w:type="spellStart"/>
      <w:r w:rsidRPr="00894524">
        <w:rPr>
          <w:sz w:val="28"/>
          <w:szCs w:val="28"/>
        </w:rPr>
        <w:t>моніторингу</w:t>
      </w:r>
      <w:proofErr w:type="spellEnd"/>
      <w:r w:rsidRPr="00894524">
        <w:rPr>
          <w:sz w:val="28"/>
          <w:szCs w:val="28"/>
        </w:rPr>
        <w:t xml:space="preserve"> та </w:t>
      </w:r>
      <w:proofErr w:type="spellStart"/>
      <w:r w:rsidRPr="00894524">
        <w:rPr>
          <w:sz w:val="28"/>
          <w:szCs w:val="28"/>
        </w:rPr>
        <w:t>поширення</w:t>
      </w:r>
      <w:proofErr w:type="spellEnd"/>
      <w:r w:rsidRPr="00894524">
        <w:rPr>
          <w:sz w:val="28"/>
          <w:szCs w:val="28"/>
        </w:rPr>
        <w:t xml:space="preserve"> </w:t>
      </w:r>
      <w:proofErr w:type="spellStart"/>
      <w:r w:rsidRPr="00894524">
        <w:rPr>
          <w:sz w:val="28"/>
          <w:szCs w:val="28"/>
        </w:rPr>
        <w:t>інформації</w:t>
      </w:r>
      <w:proofErr w:type="spellEnd"/>
      <w:r w:rsidRPr="00894524">
        <w:rPr>
          <w:sz w:val="28"/>
          <w:szCs w:val="28"/>
        </w:rPr>
        <w:t xml:space="preserve"> </w:t>
      </w:r>
      <w:proofErr w:type="spellStart"/>
      <w:r w:rsidRPr="00894524">
        <w:rPr>
          <w:sz w:val="28"/>
          <w:szCs w:val="28"/>
        </w:rPr>
        <w:t>слід</w:t>
      </w:r>
      <w:proofErr w:type="spellEnd"/>
      <w:r w:rsidRPr="00894524">
        <w:rPr>
          <w:sz w:val="28"/>
          <w:szCs w:val="28"/>
        </w:rPr>
        <w:t xml:space="preserve"> </w:t>
      </w:r>
      <w:proofErr w:type="spellStart"/>
      <w:r w:rsidRPr="00894524">
        <w:rPr>
          <w:sz w:val="28"/>
          <w:szCs w:val="28"/>
        </w:rPr>
        <w:t>використовувати</w:t>
      </w:r>
      <w:proofErr w:type="spellEnd"/>
      <w:r w:rsidRPr="00894524">
        <w:rPr>
          <w:sz w:val="28"/>
          <w:szCs w:val="28"/>
        </w:rPr>
        <w:t xml:space="preserve">. Для </w:t>
      </w:r>
      <w:proofErr w:type="spellStart"/>
      <w:r w:rsidRPr="00894524">
        <w:rPr>
          <w:sz w:val="28"/>
          <w:szCs w:val="28"/>
        </w:rPr>
        <w:t>організації</w:t>
      </w:r>
      <w:proofErr w:type="spellEnd"/>
      <w:r w:rsidRPr="00894524">
        <w:rPr>
          <w:sz w:val="28"/>
          <w:szCs w:val="28"/>
        </w:rPr>
        <w:t xml:space="preserve"> </w:t>
      </w:r>
      <w:proofErr w:type="spellStart"/>
      <w:r w:rsidRPr="00894524">
        <w:rPr>
          <w:sz w:val="28"/>
          <w:szCs w:val="28"/>
        </w:rPr>
        <w:t>моніторингу</w:t>
      </w:r>
      <w:proofErr w:type="spellEnd"/>
      <w:r w:rsidRPr="00894524">
        <w:rPr>
          <w:sz w:val="28"/>
          <w:szCs w:val="28"/>
        </w:rPr>
        <w:t xml:space="preserve"> </w:t>
      </w:r>
      <w:proofErr w:type="spellStart"/>
      <w:r w:rsidRPr="00894524">
        <w:rPr>
          <w:sz w:val="28"/>
          <w:szCs w:val="28"/>
        </w:rPr>
        <w:t>можуть</w:t>
      </w:r>
      <w:proofErr w:type="spellEnd"/>
      <w:r w:rsidRPr="00894524">
        <w:rPr>
          <w:sz w:val="28"/>
          <w:szCs w:val="28"/>
        </w:rPr>
        <w:t xml:space="preserve"> бути </w:t>
      </w:r>
      <w:proofErr w:type="spellStart"/>
      <w:r w:rsidRPr="00894524">
        <w:rPr>
          <w:sz w:val="28"/>
          <w:szCs w:val="28"/>
        </w:rPr>
        <w:t>використані</w:t>
      </w:r>
      <w:proofErr w:type="spellEnd"/>
      <w:r w:rsidRPr="00894524">
        <w:rPr>
          <w:sz w:val="28"/>
          <w:szCs w:val="28"/>
        </w:rPr>
        <w:t xml:space="preserve"> </w:t>
      </w:r>
      <w:proofErr w:type="spellStart"/>
      <w:r w:rsidRPr="00894524">
        <w:rPr>
          <w:sz w:val="28"/>
          <w:szCs w:val="28"/>
        </w:rPr>
        <w:t>існуючі</w:t>
      </w:r>
      <w:proofErr w:type="spellEnd"/>
      <w:r w:rsidRPr="00894524">
        <w:rPr>
          <w:sz w:val="28"/>
          <w:szCs w:val="28"/>
        </w:rPr>
        <w:t xml:space="preserve"> </w:t>
      </w:r>
      <w:proofErr w:type="spellStart"/>
      <w:r w:rsidRPr="00894524">
        <w:rPr>
          <w:sz w:val="28"/>
          <w:szCs w:val="28"/>
        </w:rPr>
        <w:t>системи</w:t>
      </w:r>
      <w:proofErr w:type="spellEnd"/>
      <w:r w:rsidRPr="00894524">
        <w:rPr>
          <w:sz w:val="28"/>
          <w:szCs w:val="28"/>
        </w:rPr>
        <w:t xml:space="preserve"> </w:t>
      </w:r>
      <w:proofErr w:type="spellStart"/>
      <w:r w:rsidRPr="00894524">
        <w:rPr>
          <w:sz w:val="28"/>
          <w:szCs w:val="28"/>
        </w:rPr>
        <w:t>моніторингу</w:t>
      </w:r>
      <w:proofErr w:type="spellEnd"/>
      <w:r w:rsidRPr="00894524">
        <w:rPr>
          <w:sz w:val="28"/>
          <w:szCs w:val="28"/>
        </w:rPr>
        <w:t xml:space="preserve"> та </w:t>
      </w:r>
      <w:proofErr w:type="spellStart"/>
      <w:r w:rsidRPr="00894524">
        <w:rPr>
          <w:sz w:val="28"/>
          <w:szCs w:val="28"/>
        </w:rPr>
        <w:t>інформаційні</w:t>
      </w:r>
      <w:proofErr w:type="spellEnd"/>
      <w:r w:rsidRPr="00894524">
        <w:rPr>
          <w:sz w:val="28"/>
          <w:szCs w:val="28"/>
        </w:rPr>
        <w:t xml:space="preserve"> </w:t>
      </w:r>
      <w:proofErr w:type="spellStart"/>
      <w:r w:rsidRPr="00894524">
        <w:rPr>
          <w:sz w:val="28"/>
          <w:szCs w:val="28"/>
        </w:rPr>
        <w:t>системи</w:t>
      </w:r>
      <w:proofErr w:type="spellEnd"/>
      <w:r w:rsidRPr="00894524">
        <w:rPr>
          <w:sz w:val="28"/>
          <w:szCs w:val="28"/>
        </w:rPr>
        <w:t xml:space="preserve"> </w:t>
      </w:r>
      <w:proofErr w:type="spellStart"/>
      <w:r w:rsidRPr="00894524">
        <w:rPr>
          <w:sz w:val="28"/>
          <w:szCs w:val="28"/>
        </w:rPr>
        <w:t>або</w:t>
      </w:r>
      <w:proofErr w:type="spellEnd"/>
      <w:r w:rsidRPr="00894524">
        <w:rPr>
          <w:sz w:val="28"/>
          <w:szCs w:val="28"/>
        </w:rPr>
        <w:t xml:space="preserve"> вони </w:t>
      </w:r>
      <w:proofErr w:type="spellStart"/>
      <w:r w:rsidRPr="00894524">
        <w:rPr>
          <w:sz w:val="28"/>
          <w:szCs w:val="28"/>
        </w:rPr>
        <w:t>мають</w:t>
      </w:r>
      <w:proofErr w:type="spellEnd"/>
      <w:r w:rsidRPr="00894524">
        <w:rPr>
          <w:sz w:val="28"/>
          <w:szCs w:val="28"/>
        </w:rPr>
        <w:t xml:space="preserve"> бути </w:t>
      </w:r>
      <w:proofErr w:type="spellStart"/>
      <w:r w:rsidRPr="00894524">
        <w:rPr>
          <w:sz w:val="28"/>
          <w:szCs w:val="28"/>
        </w:rPr>
        <w:t>спеціально</w:t>
      </w:r>
      <w:proofErr w:type="spellEnd"/>
      <w:r w:rsidRPr="00894524">
        <w:rPr>
          <w:sz w:val="28"/>
          <w:szCs w:val="28"/>
        </w:rPr>
        <w:t xml:space="preserve"> </w:t>
      </w:r>
      <w:proofErr w:type="spellStart"/>
      <w:r w:rsidRPr="00894524">
        <w:rPr>
          <w:sz w:val="28"/>
          <w:szCs w:val="28"/>
        </w:rPr>
        <w:t>удосконалені</w:t>
      </w:r>
      <w:proofErr w:type="spellEnd"/>
      <w:r w:rsidRPr="00894524">
        <w:rPr>
          <w:sz w:val="28"/>
          <w:szCs w:val="28"/>
        </w:rPr>
        <w:t xml:space="preserve"> для </w:t>
      </w:r>
      <w:proofErr w:type="spellStart"/>
      <w:r w:rsidRPr="00894524">
        <w:rPr>
          <w:sz w:val="28"/>
          <w:szCs w:val="28"/>
        </w:rPr>
        <w:t>цілей</w:t>
      </w:r>
      <w:proofErr w:type="spellEnd"/>
      <w:r w:rsidRPr="00894524">
        <w:rPr>
          <w:sz w:val="28"/>
          <w:szCs w:val="28"/>
        </w:rPr>
        <w:t xml:space="preserve"> СЕО. Для </w:t>
      </w:r>
      <w:proofErr w:type="spellStart"/>
      <w:r w:rsidRPr="00894524">
        <w:rPr>
          <w:sz w:val="28"/>
          <w:szCs w:val="28"/>
        </w:rPr>
        <w:t>організації</w:t>
      </w:r>
      <w:proofErr w:type="spellEnd"/>
      <w:r w:rsidRPr="00894524">
        <w:rPr>
          <w:sz w:val="28"/>
          <w:szCs w:val="28"/>
        </w:rPr>
        <w:t xml:space="preserve"> </w:t>
      </w:r>
      <w:proofErr w:type="spellStart"/>
      <w:r w:rsidRPr="00894524">
        <w:rPr>
          <w:sz w:val="28"/>
          <w:szCs w:val="28"/>
        </w:rPr>
        <w:t>моніторингу</w:t>
      </w:r>
      <w:proofErr w:type="spellEnd"/>
      <w:r w:rsidRPr="00894524">
        <w:rPr>
          <w:sz w:val="28"/>
          <w:szCs w:val="28"/>
        </w:rPr>
        <w:t xml:space="preserve"> </w:t>
      </w:r>
      <w:proofErr w:type="spellStart"/>
      <w:r w:rsidRPr="00894524">
        <w:rPr>
          <w:sz w:val="28"/>
          <w:szCs w:val="28"/>
        </w:rPr>
        <w:t>виконання</w:t>
      </w:r>
      <w:proofErr w:type="spellEnd"/>
      <w:r w:rsidRPr="00894524">
        <w:rPr>
          <w:sz w:val="28"/>
          <w:szCs w:val="28"/>
        </w:rPr>
        <w:t xml:space="preserve"> </w:t>
      </w:r>
      <w:proofErr w:type="spellStart"/>
      <w:r w:rsidRPr="00894524">
        <w:rPr>
          <w:sz w:val="28"/>
          <w:szCs w:val="28"/>
        </w:rPr>
        <w:t>програми</w:t>
      </w:r>
      <w:proofErr w:type="spellEnd"/>
      <w:r w:rsidRPr="00894524">
        <w:rPr>
          <w:sz w:val="28"/>
          <w:szCs w:val="28"/>
        </w:rPr>
        <w:t xml:space="preserve"> по кожному </w:t>
      </w:r>
      <w:proofErr w:type="spellStart"/>
      <w:r w:rsidRPr="00894524">
        <w:rPr>
          <w:sz w:val="28"/>
          <w:szCs w:val="28"/>
        </w:rPr>
        <w:t>запланованому</w:t>
      </w:r>
      <w:proofErr w:type="spellEnd"/>
      <w:r w:rsidRPr="00894524">
        <w:rPr>
          <w:sz w:val="28"/>
          <w:szCs w:val="28"/>
        </w:rPr>
        <w:t xml:space="preserve"> до </w:t>
      </w:r>
      <w:proofErr w:type="spellStart"/>
      <w:r w:rsidRPr="00894524">
        <w:rPr>
          <w:sz w:val="28"/>
          <w:szCs w:val="28"/>
        </w:rPr>
        <w:t>виконання</w:t>
      </w:r>
      <w:proofErr w:type="spellEnd"/>
      <w:r w:rsidRPr="00894524">
        <w:rPr>
          <w:sz w:val="28"/>
          <w:szCs w:val="28"/>
        </w:rPr>
        <w:t xml:space="preserve"> заходу </w:t>
      </w:r>
      <w:proofErr w:type="spellStart"/>
      <w:r w:rsidRPr="00894524">
        <w:rPr>
          <w:sz w:val="28"/>
          <w:szCs w:val="28"/>
        </w:rPr>
        <w:t>визначено</w:t>
      </w:r>
      <w:proofErr w:type="spellEnd"/>
      <w:r w:rsidRPr="00894524">
        <w:rPr>
          <w:sz w:val="28"/>
          <w:szCs w:val="28"/>
        </w:rPr>
        <w:t xml:space="preserve"> </w:t>
      </w:r>
      <w:proofErr w:type="spellStart"/>
      <w:r w:rsidRPr="00894524">
        <w:rPr>
          <w:sz w:val="28"/>
          <w:szCs w:val="28"/>
        </w:rPr>
        <w:t>відповідального</w:t>
      </w:r>
      <w:proofErr w:type="spellEnd"/>
      <w:r w:rsidRPr="00894524">
        <w:rPr>
          <w:sz w:val="28"/>
          <w:szCs w:val="28"/>
        </w:rPr>
        <w:t xml:space="preserve"> </w:t>
      </w:r>
      <w:proofErr w:type="spellStart"/>
      <w:r w:rsidRPr="00894524">
        <w:rPr>
          <w:sz w:val="28"/>
          <w:szCs w:val="28"/>
        </w:rPr>
        <w:t>виконавця</w:t>
      </w:r>
      <w:proofErr w:type="spellEnd"/>
      <w:r w:rsidRPr="00894524">
        <w:rPr>
          <w:sz w:val="28"/>
          <w:szCs w:val="28"/>
        </w:rPr>
        <w:t xml:space="preserve"> – </w:t>
      </w:r>
      <w:proofErr w:type="spellStart"/>
      <w:r w:rsidRPr="00894524">
        <w:rPr>
          <w:sz w:val="28"/>
          <w:szCs w:val="28"/>
        </w:rPr>
        <w:t>структурний</w:t>
      </w:r>
      <w:proofErr w:type="spellEnd"/>
      <w:r w:rsidRPr="00894524">
        <w:rPr>
          <w:sz w:val="28"/>
          <w:szCs w:val="28"/>
        </w:rPr>
        <w:t xml:space="preserve"> </w:t>
      </w:r>
      <w:proofErr w:type="spellStart"/>
      <w:r w:rsidRPr="00894524">
        <w:rPr>
          <w:sz w:val="28"/>
          <w:szCs w:val="28"/>
        </w:rPr>
        <w:t>підрозділ</w:t>
      </w:r>
      <w:proofErr w:type="spellEnd"/>
      <w:r w:rsidRPr="00894524">
        <w:rPr>
          <w:sz w:val="28"/>
          <w:szCs w:val="28"/>
        </w:rPr>
        <w:t xml:space="preserve"> </w:t>
      </w:r>
      <w:proofErr w:type="spellStart"/>
      <w:r w:rsidRPr="00894524">
        <w:rPr>
          <w:sz w:val="28"/>
          <w:szCs w:val="28"/>
        </w:rPr>
        <w:t>Миколаївської</w:t>
      </w:r>
      <w:proofErr w:type="spellEnd"/>
      <w:r w:rsidRPr="00894524">
        <w:rPr>
          <w:sz w:val="28"/>
          <w:szCs w:val="28"/>
        </w:rPr>
        <w:t xml:space="preserve"> </w:t>
      </w:r>
      <w:proofErr w:type="spellStart"/>
      <w:r w:rsidRPr="00894524">
        <w:rPr>
          <w:sz w:val="28"/>
          <w:szCs w:val="28"/>
        </w:rPr>
        <w:t>міської</w:t>
      </w:r>
      <w:proofErr w:type="spellEnd"/>
      <w:r w:rsidRPr="00894524">
        <w:rPr>
          <w:sz w:val="28"/>
          <w:szCs w:val="28"/>
        </w:rPr>
        <w:t xml:space="preserve"> ради, </w:t>
      </w:r>
      <w:proofErr w:type="spellStart"/>
      <w:r w:rsidRPr="00894524">
        <w:rPr>
          <w:sz w:val="28"/>
          <w:szCs w:val="28"/>
        </w:rPr>
        <w:t>який</w:t>
      </w:r>
      <w:proofErr w:type="spellEnd"/>
      <w:r w:rsidRPr="00894524">
        <w:rPr>
          <w:sz w:val="28"/>
          <w:szCs w:val="28"/>
        </w:rPr>
        <w:t xml:space="preserve"> повинен </w:t>
      </w:r>
      <w:proofErr w:type="spellStart"/>
      <w:r w:rsidRPr="00894524">
        <w:rPr>
          <w:sz w:val="28"/>
          <w:szCs w:val="28"/>
        </w:rPr>
        <w:t>здійснювати</w:t>
      </w:r>
      <w:proofErr w:type="spellEnd"/>
      <w:r w:rsidRPr="00894524">
        <w:rPr>
          <w:sz w:val="28"/>
          <w:szCs w:val="28"/>
        </w:rPr>
        <w:t xml:space="preserve"> </w:t>
      </w:r>
      <w:proofErr w:type="spellStart"/>
      <w:r w:rsidRPr="00894524">
        <w:rPr>
          <w:sz w:val="28"/>
          <w:szCs w:val="28"/>
        </w:rPr>
        <w:t>моніторинг</w:t>
      </w:r>
      <w:proofErr w:type="spellEnd"/>
      <w:r w:rsidRPr="00894524">
        <w:rPr>
          <w:sz w:val="28"/>
          <w:szCs w:val="28"/>
        </w:rPr>
        <w:t xml:space="preserve"> </w:t>
      </w:r>
      <w:proofErr w:type="spellStart"/>
      <w:r w:rsidRPr="00894524">
        <w:rPr>
          <w:sz w:val="28"/>
          <w:szCs w:val="28"/>
        </w:rPr>
        <w:t>ефективності</w:t>
      </w:r>
      <w:proofErr w:type="spellEnd"/>
      <w:r w:rsidRPr="00894524">
        <w:rPr>
          <w:sz w:val="28"/>
          <w:szCs w:val="28"/>
        </w:rPr>
        <w:t xml:space="preserve"> </w:t>
      </w:r>
      <w:proofErr w:type="spellStart"/>
      <w:r w:rsidRPr="00894524">
        <w:rPr>
          <w:sz w:val="28"/>
          <w:szCs w:val="28"/>
        </w:rPr>
        <w:t>впровадження</w:t>
      </w:r>
      <w:proofErr w:type="spellEnd"/>
      <w:r w:rsidRPr="00894524">
        <w:rPr>
          <w:sz w:val="28"/>
          <w:szCs w:val="28"/>
        </w:rPr>
        <w:t xml:space="preserve"> </w:t>
      </w:r>
      <w:proofErr w:type="spellStart"/>
      <w:r w:rsidRPr="00894524">
        <w:rPr>
          <w:sz w:val="28"/>
          <w:szCs w:val="28"/>
        </w:rPr>
        <w:t>заходів</w:t>
      </w:r>
      <w:proofErr w:type="spellEnd"/>
      <w:r w:rsidRPr="00894524">
        <w:rPr>
          <w:sz w:val="28"/>
          <w:szCs w:val="28"/>
        </w:rPr>
        <w:t xml:space="preserve"> </w:t>
      </w:r>
      <w:proofErr w:type="spellStart"/>
      <w:r w:rsidRPr="00894524">
        <w:rPr>
          <w:sz w:val="28"/>
          <w:szCs w:val="28"/>
        </w:rPr>
        <w:t>Програми</w:t>
      </w:r>
      <w:proofErr w:type="spellEnd"/>
      <w:r w:rsidRPr="00894524">
        <w:rPr>
          <w:sz w:val="28"/>
          <w:szCs w:val="28"/>
        </w:rPr>
        <w:t xml:space="preserve">. </w:t>
      </w:r>
    </w:p>
    <w:p w:rsidR="00894524" w:rsidRDefault="00894524" w:rsidP="002937FE">
      <w:pPr>
        <w:pStyle w:val="Default"/>
        <w:ind w:firstLine="708"/>
        <w:jc w:val="both"/>
      </w:pPr>
    </w:p>
    <w:p w:rsidR="002937FE" w:rsidRDefault="002937FE" w:rsidP="002937FE">
      <w:pPr>
        <w:pStyle w:val="Default"/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Підсумки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моніторингу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підводяться</w:t>
      </w:r>
      <w:proofErr w:type="spellEnd"/>
      <w:r>
        <w:rPr>
          <w:sz w:val="28"/>
          <w:szCs w:val="28"/>
        </w:rPr>
        <w:t xml:space="preserve"> один раз </w:t>
      </w:r>
      <w:r w:rsidR="00C6761D">
        <w:rPr>
          <w:sz w:val="28"/>
          <w:szCs w:val="28"/>
          <w:lang w:val="uk-UA"/>
        </w:rPr>
        <w:t xml:space="preserve">на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вигляді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</w:t>
      </w:r>
      <w:r w:rsidR="004C65A8">
        <w:rPr>
          <w:sz w:val="28"/>
          <w:szCs w:val="28"/>
        </w:rPr>
        <w:t>ів</w:t>
      </w:r>
      <w:proofErr w:type="spellEnd"/>
      <w:r w:rsidR="004C65A8">
        <w:rPr>
          <w:sz w:val="28"/>
          <w:szCs w:val="28"/>
        </w:rPr>
        <w:t xml:space="preserve">. </w:t>
      </w:r>
      <w:proofErr w:type="spellStart"/>
      <w:r w:rsidR="004C65A8">
        <w:rPr>
          <w:sz w:val="28"/>
          <w:szCs w:val="28"/>
        </w:rPr>
        <w:t>Фіксу</w:t>
      </w:r>
      <w:proofErr w:type="spellEnd"/>
      <w:r w:rsidR="00C6761D">
        <w:rPr>
          <w:sz w:val="28"/>
          <w:szCs w:val="28"/>
          <w:lang w:val="uk-UA"/>
        </w:rPr>
        <w:t>є</w:t>
      </w:r>
      <w:proofErr w:type="spellStart"/>
      <w:r w:rsidR="004C65A8">
        <w:rPr>
          <w:sz w:val="28"/>
          <w:szCs w:val="28"/>
        </w:rPr>
        <w:t>ться</w:t>
      </w:r>
      <w:proofErr w:type="spellEnd"/>
      <w:r w:rsidR="004C65A8">
        <w:rPr>
          <w:sz w:val="28"/>
          <w:szCs w:val="28"/>
        </w:rPr>
        <w:t xml:space="preserve"> та </w:t>
      </w:r>
      <w:proofErr w:type="spellStart"/>
      <w:r w:rsidR="004C65A8">
        <w:rPr>
          <w:sz w:val="28"/>
          <w:szCs w:val="28"/>
        </w:rPr>
        <w:t>аналізу</w:t>
      </w:r>
      <w:proofErr w:type="spellEnd"/>
      <w:r w:rsidR="00C6761D">
        <w:rPr>
          <w:sz w:val="28"/>
          <w:szCs w:val="28"/>
          <w:lang w:val="uk-UA"/>
        </w:rPr>
        <w:t>є</w:t>
      </w:r>
      <w:proofErr w:type="spellStart"/>
      <w:r w:rsidR="004C65A8">
        <w:rPr>
          <w:sz w:val="28"/>
          <w:szCs w:val="28"/>
        </w:rPr>
        <w:t>ться</w:t>
      </w:r>
      <w:proofErr w:type="spellEnd"/>
      <w:r w:rsidR="004C65A8">
        <w:rPr>
          <w:sz w:val="28"/>
          <w:szCs w:val="28"/>
        </w:rPr>
        <w:t xml:space="preserve"> </w:t>
      </w:r>
      <w:r w:rsidR="004C65A8">
        <w:rPr>
          <w:sz w:val="28"/>
          <w:szCs w:val="28"/>
          <w:lang w:val="uk-UA"/>
        </w:rPr>
        <w:t>виконання заходів відповідальними виконавцями та причини відхилення у разі невиконання.</w:t>
      </w:r>
    </w:p>
    <w:p w:rsidR="00894524" w:rsidRDefault="00894524" w:rsidP="002937FE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4C65A8" w:rsidRPr="004C65A8" w:rsidRDefault="004C65A8" w:rsidP="002937FE">
      <w:pPr>
        <w:pStyle w:val="Default"/>
        <w:ind w:firstLine="708"/>
        <w:jc w:val="both"/>
        <w:rPr>
          <w:sz w:val="28"/>
          <w:szCs w:val="28"/>
          <w:lang w:val="uk-UA"/>
        </w:rPr>
      </w:pPr>
    </w:p>
    <w:p w:rsidR="002937FE" w:rsidRPr="002937FE" w:rsidRDefault="002937FE" w:rsidP="002937FE">
      <w:pPr>
        <w:pStyle w:val="Default"/>
        <w:jc w:val="center"/>
        <w:rPr>
          <w:b/>
          <w:sz w:val="28"/>
          <w:szCs w:val="28"/>
          <w:lang w:val="uk-UA"/>
        </w:rPr>
      </w:pPr>
      <w:proofErr w:type="spellStart"/>
      <w:r w:rsidRPr="002937FE">
        <w:rPr>
          <w:b/>
          <w:sz w:val="28"/>
          <w:szCs w:val="28"/>
        </w:rPr>
        <w:t>Цільові</w:t>
      </w:r>
      <w:proofErr w:type="spellEnd"/>
      <w:r w:rsidRPr="002937FE">
        <w:rPr>
          <w:b/>
          <w:sz w:val="28"/>
          <w:szCs w:val="28"/>
        </w:rPr>
        <w:t xml:space="preserve"> </w:t>
      </w:r>
      <w:proofErr w:type="spellStart"/>
      <w:r w:rsidRPr="002937FE">
        <w:rPr>
          <w:b/>
          <w:sz w:val="28"/>
          <w:szCs w:val="28"/>
        </w:rPr>
        <w:t>індикатори</w:t>
      </w:r>
      <w:proofErr w:type="spellEnd"/>
      <w:r w:rsidRPr="002937FE">
        <w:rPr>
          <w:b/>
          <w:sz w:val="28"/>
          <w:szCs w:val="28"/>
        </w:rPr>
        <w:t xml:space="preserve">, </w:t>
      </w:r>
      <w:proofErr w:type="spellStart"/>
      <w:r w:rsidRPr="002937FE">
        <w:rPr>
          <w:b/>
          <w:sz w:val="28"/>
          <w:szCs w:val="28"/>
        </w:rPr>
        <w:t>які</w:t>
      </w:r>
      <w:proofErr w:type="spellEnd"/>
      <w:r w:rsidRPr="002937FE">
        <w:rPr>
          <w:b/>
          <w:sz w:val="28"/>
          <w:szCs w:val="28"/>
        </w:rPr>
        <w:t xml:space="preserve"> </w:t>
      </w:r>
      <w:proofErr w:type="spellStart"/>
      <w:r w:rsidRPr="002937FE">
        <w:rPr>
          <w:b/>
          <w:sz w:val="28"/>
          <w:szCs w:val="28"/>
        </w:rPr>
        <w:t>передбачається</w:t>
      </w:r>
      <w:proofErr w:type="spellEnd"/>
      <w:r w:rsidRPr="002937FE">
        <w:rPr>
          <w:b/>
          <w:sz w:val="28"/>
          <w:szCs w:val="28"/>
        </w:rPr>
        <w:t xml:space="preserve"> </w:t>
      </w:r>
      <w:proofErr w:type="spellStart"/>
      <w:r w:rsidRPr="002937FE">
        <w:rPr>
          <w:b/>
          <w:sz w:val="28"/>
          <w:szCs w:val="28"/>
        </w:rPr>
        <w:t>досягти</w:t>
      </w:r>
      <w:proofErr w:type="spellEnd"/>
      <w:r>
        <w:rPr>
          <w:b/>
          <w:sz w:val="28"/>
          <w:szCs w:val="28"/>
          <w:lang w:val="uk-UA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в </w:t>
      </w:r>
      <w:proofErr w:type="spellStart"/>
      <w:r>
        <w:rPr>
          <w:b/>
          <w:bCs/>
          <w:color w:val="auto"/>
          <w:sz w:val="28"/>
          <w:szCs w:val="28"/>
        </w:rPr>
        <w:t>короткостроковій</w:t>
      </w:r>
      <w:proofErr w:type="spellEnd"/>
      <w:r>
        <w:rPr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b/>
          <w:bCs/>
          <w:color w:val="auto"/>
          <w:sz w:val="28"/>
          <w:szCs w:val="28"/>
        </w:rPr>
        <w:t>перспективі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705"/>
        <w:gridCol w:w="1551"/>
        <w:gridCol w:w="1528"/>
        <w:gridCol w:w="1552"/>
      </w:tblGrid>
      <w:tr w:rsidR="002937FE" w:rsidTr="00A47D0F">
        <w:tc>
          <w:tcPr>
            <w:tcW w:w="2235" w:type="dxa"/>
          </w:tcPr>
          <w:p w:rsidR="002937FE" w:rsidRDefault="002937FE" w:rsidP="00A47D0F">
            <w:pPr>
              <w:pStyle w:val="Default"/>
              <w:jc w:val="center"/>
              <w:rPr>
                <w:color w:val="auto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Ціль</w:t>
            </w:r>
            <w:proofErr w:type="spellEnd"/>
          </w:p>
        </w:tc>
        <w:tc>
          <w:tcPr>
            <w:tcW w:w="2705" w:type="dxa"/>
          </w:tcPr>
          <w:p w:rsidR="002937FE" w:rsidRDefault="002937FE" w:rsidP="00A47D0F">
            <w:pPr>
              <w:pStyle w:val="Default"/>
              <w:jc w:val="center"/>
              <w:rPr>
                <w:color w:val="auto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Індикатор</w:t>
            </w:r>
            <w:proofErr w:type="spellEnd"/>
          </w:p>
        </w:tc>
        <w:tc>
          <w:tcPr>
            <w:tcW w:w="1551" w:type="dxa"/>
          </w:tcPr>
          <w:p w:rsidR="002937FE" w:rsidRDefault="002937FE" w:rsidP="00A47D0F">
            <w:pPr>
              <w:pStyle w:val="Default"/>
              <w:jc w:val="center"/>
              <w:rPr>
                <w:color w:val="auto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Одиниці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виміру</w:t>
            </w:r>
            <w:proofErr w:type="spellEnd"/>
          </w:p>
        </w:tc>
        <w:tc>
          <w:tcPr>
            <w:tcW w:w="1528" w:type="dxa"/>
          </w:tcPr>
          <w:p w:rsidR="002937FE" w:rsidRDefault="002937FE" w:rsidP="00A47D0F">
            <w:pPr>
              <w:pStyle w:val="Default"/>
              <w:jc w:val="center"/>
              <w:rPr>
                <w:color w:val="auto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Станом на 01.01.2021</w:t>
            </w:r>
          </w:p>
        </w:tc>
        <w:tc>
          <w:tcPr>
            <w:tcW w:w="1552" w:type="dxa"/>
          </w:tcPr>
          <w:p w:rsidR="002937FE" w:rsidRDefault="002937FE" w:rsidP="00A47D0F">
            <w:pPr>
              <w:pStyle w:val="Default"/>
              <w:jc w:val="center"/>
              <w:rPr>
                <w:color w:val="auto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Станом на 31.12.2021</w:t>
            </w:r>
          </w:p>
        </w:tc>
      </w:tr>
      <w:tr w:rsidR="002937FE" w:rsidTr="00A47D0F">
        <w:tc>
          <w:tcPr>
            <w:tcW w:w="2235" w:type="dxa"/>
          </w:tcPr>
          <w:p w:rsidR="002937FE" w:rsidRPr="002937FE" w:rsidRDefault="002937FE" w:rsidP="00A47D0F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Зменшення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забруднення</w:t>
            </w:r>
            <w:proofErr w:type="spellEnd"/>
            <w:r>
              <w:rPr>
                <w:sz w:val="28"/>
                <w:szCs w:val="28"/>
              </w:rPr>
              <w:t xml:space="preserve"> атмосферного </w:t>
            </w:r>
            <w:proofErr w:type="spellStart"/>
            <w:r>
              <w:rPr>
                <w:sz w:val="28"/>
                <w:szCs w:val="28"/>
              </w:rPr>
              <w:t>повітря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пересувних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джерел</w:t>
            </w:r>
            <w:proofErr w:type="spellEnd"/>
            <w:r>
              <w:rPr>
                <w:sz w:val="28"/>
                <w:szCs w:val="28"/>
              </w:rPr>
              <w:t>, пр</w:t>
            </w:r>
            <w:r w:rsidR="004C65A8">
              <w:rPr>
                <w:sz w:val="28"/>
                <w:szCs w:val="28"/>
              </w:rPr>
              <w:t xml:space="preserve">опаганда здорового способу </w:t>
            </w:r>
            <w:proofErr w:type="spellStart"/>
            <w:r w:rsidR="004C65A8" w:rsidRPr="00FA1CC9">
              <w:rPr>
                <w:color w:val="auto"/>
                <w:sz w:val="28"/>
                <w:szCs w:val="28"/>
              </w:rPr>
              <w:t>життя</w:t>
            </w:r>
            <w:proofErr w:type="spellEnd"/>
            <w:r w:rsidRPr="00FA1CC9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705" w:type="dxa"/>
          </w:tcPr>
          <w:p w:rsidR="002937FE" w:rsidRDefault="002937FE" w:rsidP="00A47D0F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Впровадження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інвестиційного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Покращання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інфраструктури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громадського</w:t>
            </w:r>
            <w:proofErr w:type="spellEnd"/>
            <w:r>
              <w:rPr>
                <w:sz w:val="28"/>
                <w:szCs w:val="28"/>
              </w:rPr>
              <w:t xml:space="preserve"> транспорту </w:t>
            </w:r>
            <w:proofErr w:type="spellStart"/>
            <w:r>
              <w:rPr>
                <w:sz w:val="28"/>
                <w:szCs w:val="28"/>
              </w:rPr>
              <w:t>міста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Миколаєва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оновлення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тролейбусного</w:t>
            </w:r>
            <w:proofErr w:type="spellEnd"/>
            <w:r>
              <w:rPr>
                <w:sz w:val="28"/>
                <w:szCs w:val="28"/>
              </w:rPr>
              <w:t xml:space="preserve"> парку»: </w:t>
            </w:r>
          </w:p>
          <w:p w:rsidR="002937FE" w:rsidRDefault="002937FE" w:rsidP="00A47D0F">
            <w:pPr>
              <w:pStyle w:val="Default"/>
              <w:rPr>
                <w:color w:val="auto"/>
                <w:lang w:val="uk-UA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придбання</w:t>
            </w:r>
            <w:proofErr w:type="spellEnd"/>
            <w:r>
              <w:rPr>
                <w:sz w:val="28"/>
                <w:szCs w:val="28"/>
              </w:rPr>
              <w:t xml:space="preserve"> 60 </w:t>
            </w:r>
            <w:proofErr w:type="spellStart"/>
            <w:r>
              <w:rPr>
                <w:sz w:val="28"/>
                <w:szCs w:val="28"/>
              </w:rPr>
              <w:t>нових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низькопідлогових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тролейбусів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1" w:type="dxa"/>
          </w:tcPr>
          <w:p w:rsidR="002937FE" w:rsidRPr="002937FE" w:rsidRDefault="002937FE" w:rsidP="002937FE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2937FE">
              <w:rPr>
                <w:color w:val="auto"/>
                <w:sz w:val="28"/>
                <w:szCs w:val="28"/>
                <w:lang w:val="uk-UA"/>
              </w:rPr>
              <w:lastRenderedPageBreak/>
              <w:t>од.</w:t>
            </w:r>
          </w:p>
        </w:tc>
        <w:tc>
          <w:tcPr>
            <w:tcW w:w="1528" w:type="dxa"/>
          </w:tcPr>
          <w:p w:rsidR="002937FE" w:rsidRPr="002937FE" w:rsidRDefault="002937FE" w:rsidP="002937FE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2937FE">
              <w:rPr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1552" w:type="dxa"/>
          </w:tcPr>
          <w:p w:rsidR="002937FE" w:rsidRPr="002937FE" w:rsidRDefault="002937FE" w:rsidP="002937FE">
            <w:pPr>
              <w:pStyle w:val="Default"/>
              <w:jc w:val="center"/>
              <w:rPr>
                <w:color w:val="auto"/>
                <w:sz w:val="28"/>
                <w:szCs w:val="28"/>
                <w:lang w:val="uk-UA"/>
              </w:rPr>
            </w:pPr>
            <w:r w:rsidRPr="002937FE">
              <w:rPr>
                <w:color w:val="auto"/>
                <w:sz w:val="28"/>
                <w:szCs w:val="28"/>
                <w:lang w:val="uk-UA"/>
              </w:rPr>
              <w:t>40</w:t>
            </w:r>
          </w:p>
        </w:tc>
      </w:tr>
      <w:tr w:rsidR="002937FE" w:rsidTr="00A47D0F">
        <w:tc>
          <w:tcPr>
            <w:tcW w:w="2235" w:type="dxa"/>
          </w:tcPr>
          <w:p w:rsidR="002937FE" w:rsidRPr="002937FE" w:rsidRDefault="002937FE" w:rsidP="00A47D0F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Зменшення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обсягів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скидів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стічних</w:t>
            </w:r>
            <w:proofErr w:type="spellEnd"/>
            <w:r>
              <w:rPr>
                <w:sz w:val="28"/>
                <w:szCs w:val="28"/>
              </w:rPr>
              <w:t xml:space="preserve"> вод та </w:t>
            </w:r>
            <w:proofErr w:type="spellStart"/>
            <w:r>
              <w:rPr>
                <w:sz w:val="28"/>
                <w:szCs w:val="28"/>
              </w:rPr>
              <w:t>припинити</w:t>
            </w:r>
            <w:proofErr w:type="spellEnd"/>
            <w:r>
              <w:rPr>
                <w:sz w:val="28"/>
                <w:szCs w:val="28"/>
              </w:rPr>
              <w:t xml:space="preserve"> скид </w:t>
            </w:r>
            <w:proofErr w:type="spellStart"/>
            <w:r>
              <w:rPr>
                <w:sz w:val="28"/>
                <w:szCs w:val="28"/>
              </w:rPr>
              <w:t>забруднених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стоків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5" w:type="dxa"/>
          </w:tcPr>
          <w:p w:rsidR="002937FE" w:rsidRDefault="002937FE" w:rsidP="00A47D0F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Будівництво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реконструкція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каналізаційних</w:t>
            </w:r>
            <w:proofErr w:type="spellEnd"/>
            <w:r>
              <w:rPr>
                <w:sz w:val="28"/>
                <w:szCs w:val="28"/>
              </w:rPr>
              <w:t xml:space="preserve"> мереж та </w:t>
            </w:r>
            <w:proofErr w:type="spellStart"/>
            <w:r>
              <w:rPr>
                <w:sz w:val="28"/>
                <w:szCs w:val="28"/>
              </w:rPr>
              <w:t>очисних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споруд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каналізації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937FE" w:rsidRPr="002937FE" w:rsidRDefault="002937FE" w:rsidP="00A47D0F">
            <w:pPr>
              <w:pStyle w:val="Default"/>
              <w:rPr>
                <w:color w:val="auto"/>
              </w:rPr>
            </w:pPr>
          </w:p>
        </w:tc>
        <w:tc>
          <w:tcPr>
            <w:tcW w:w="1551" w:type="dxa"/>
          </w:tcPr>
          <w:p w:rsidR="002937FE" w:rsidRDefault="002937FE" w:rsidP="002937FE">
            <w:pPr>
              <w:pStyle w:val="Defaul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будівельна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готовність</w:t>
            </w:r>
            <w:proofErr w:type="spellEnd"/>
            <w:r>
              <w:rPr>
                <w:sz w:val="28"/>
                <w:szCs w:val="28"/>
              </w:rPr>
              <w:t>, %</w:t>
            </w:r>
          </w:p>
          <w:p w:rsidR="002937FE" w:rsidRDefault="002937FE" w:rsidP="002937FE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</w:p>
          <w:p w:rsidR="002937FE" w:rsidRPr="002937FE" w:rsidRDefault="002937FE" w:rsidP="002937FE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</w:p>
          <w:p w:rsidR="002937FE" w:rsidRDefault="002937FE" w:rsidP="002937FE">
            <w:pPr>
              <w:pStyle w:val="Default"/>
              <w:jc w:val="center"/>
              <w:rPr>
                <w:color w:val="auto"/>
                <w:lang w:val="uk-UA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об’єкт</w:t>
            </w:r>
            <w:proofErr w:type="spellEnd"/>
          </w:p>
        </w:tc>
        <w:tc>
          <w:tcPr>
            <w:tcW w:w="1528" w:type="dxa"/>
          </w:tcPr>
          <w:p w:rsidR="002937FE" w:rsidRPr="002937FE" w:rsidRDefault="002937FE" w:rsidP="002937FE">
            <w:pPr>
              <w:pStyle w:val="Default"/>
              <w:jc w:val="center"/>
              <w:rPr>
                <w:sz w:val="28"/>
                <w:szCs w:val="28"/>
              </w:rPr>
            </w:pPr>
            <w:r w:rsidRPr="002937FE">
              <w:rPr>
                <w:sz w:val="28"/>
                <w:szCs w:val="28"/>
              </w:rPr>
              <w:t>36,0</w:t>
            </w:r>
          </w:p>
        </w:tc>
        <w:tc>
          <w:tcPr>
            <w:tcW w:w="1552" w:type="dxa"/>
          </w:tcPr>
          <w:p w:rsidR="002937FE" w:rsidRPr="002937FE" w:rsidRDefault="002937FE" w:rsidP="002937FE">
            <w:pPr>
              <w:pStyle w:val="Default"/>
              <w:jc w:val="center"/>
              <w:rPr>
                <w:sz w:val="28"/>
                <w:szCs w:val="28"/>
              </w:rPr>
            </w:pPr>
            <w:r w:rsidRPr="002937FE">
              <w:rPr>
                <w:sz w:val="28"/>
                <w:szCs w:val="28"/>
              </w:rPr>
              <w:t>100,0</w:t>
            </w:r>
          </w:p>
          <w:p w:rsidR="002937FE" w:rsidRPr="002937FE" w:rsidRDefault="002937FE" w:rsidP="002937F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2937FE" w:rsidRPr="002937FE" w:rsidRDefault="002937FE" w:rsidP="002937F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2937FE" w:rsidRDefault="002937FE" w:rsidP="002937FE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</w:p>
          <w:p w:rsidR="00A47D0F" w:rsidRPr="00A47D0F" w:rsidRDefault="00A47D0F" w:rsidP="002937FE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</w:p>
          <w:p w:rsidR="002937FE" w:rsidRPr="002937FE" w:rsidRDefault="002937FE" w:rsidP="002937FE">
            <w:pPr>
              <w:pStyle w:val="Default"/>
              <w:jc w:val="center"/>
              <w:rPr>
                <w:sz w:val="28"/>
                <w:szCs w:val="28"/>
              </w:rPr>
            </w:pPr>
            <w:r w:rsidRPr="002937FE">
              <w:rPr>
                <w:sz w:val="28"/>
                <w:szCs w:val="28"/>
              </w:rPr>
              <w:t xml:space="preserve">1 </w:t>
            </w:r>
            <w:proofErr w:type="spellStart"/>
            <w:r w:rsidRPr="002937FE">
              <w:rPr>
                <w:sz w:val="28"/>
                <w:szCs w:val="28"/>
              </w:rPr>
              <w:t>об’єкт</w:t>
            </w:r>
            <w:proofErr w:type="spellEnd"/>
          </w:p>
        </w:tc>
      </w:tr>
      <w:tr w:rsidR="002937FE" w:rsidTr="00A47D0F">
        <w:tc>
          <w:tcPr>
            <w:tcW w:w="2235" w:type="dxa"/>
          </w:tcPr>
          <w:p w:rsidR="002937FE" w:rsidRPr="002937FE" w:rsidRDefault="002937FE" w:rsidP="00A47D0F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Збільшення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зелених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насаджень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покращання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якості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зелених</w:t>
            </w:r>
            <w:proofErr w:type="spellEnd"/>
            <w:r>
              <w:rPr>
                <w:sz w:val="28"/>
                <w:szCs w:val="28"/>
              </w:rPr>
              <w:t xml:space="preserve"> зон </w:t>
            </w:r>
            <w:proofErr w:type="spellStart"/>
            <w:r>
              <w:rPr>
                <w:sz w:val="28"/>
                <w:szCs w:val="28"/>
              </w:rPr>
              <w:t>міста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5" w:type="dxa"/>
          </w:tcPr>
          <w:p w:rsidR="002937FE" w:rsidRPr="002937FE" w:rsidRDefault="002937FE" w:rsidP="00A47D0F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Реконструкція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скверів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парків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об’єктів</w:t>
            </w:r>
            <w:proofErr w:type="spellEnd"/>
            <w:r>
              <w:rPr>
                <w:sz w:val="28"/>
                <w:szCs w:val="28"/>
              </w:rPr>
              <w:t xml:space="preserve"> садово-паркового </w:t>
            </w:r>
            <w:proofErr w:type="spellStart"/>
            <w:r>
              <w:rPr>
                <w:sz w:val="28"/>
                <w:szCs w:val="28"/>
              </w:rPr>
              <w:t>мистецтва</w:t>
            </w:r>
            <w:proofErr w:type="spellEnd"/>
            <w:r>
              <w:rPr>
                <w:sz w:val="28"/>
                <w:szCs w:val="28"/>
              </w:rPr>
              <w:t xml:space="preserve">, зон </w:t>
            </w:r>
            <w:proofErr w:type="spellStart"/>
            <w:r>
              <w:rPr>
                <w:sz w:val="28"/>
                <w:szCs w:val="28"/>
              </w:rPr>
              <w:t>рекреаційного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призначення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1" w:type="dxa"/>
          </w:tcPr>
          <w:p w:rsidR="002937FE" w:rsidRDefault="002937FE" w:rsidP="002937FE">
            <w:pPr>
              <w:pStyle w:val="Defaul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будівельна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готовність</w:t>
            </w:r>
            <w:proofErr w:type="spellEnd"/>
            <w:r>
              <w:rPr>
                <w:sz w:val="28"/>
                <w:szCs w:val="28"/>
              </w:rPr>
              <w:t>, %</w:t>
            </w:r>
          </w:p>
          <w:p w:rsidR="002937FE" w:rsidRDefault="002937FE" w:rsidP="002937FE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</w:p>
          <w:p w:rsidR="002937FE" w:rsidRDefault="002937FE" w:rsidP="002937FE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</w:p>
          <w:p w:rsidR="002937FE" w:rsidRDefault="002937FE" w:rsidP="002937FE">
            <w:pPr>
              <w:pStyle w:val="Default"/>
              <w:jc w:val="center"/>
              <w:rPr>
                <w:color w:val="auto"/>
                <w:lang w:val="uk-UA"/>
              </w:rPr>
            </w:pPr>
            <w:r>
              <w:rPr>
                <w:sz w:val="28"/>
                <w:szCs w:val="28"/>
              </w:rPr>
              <w:t xml:space="preserve">6 </w:t>
            </w:r>
            <w:proofErr w:type="spellStart"/>
            <w:r>
              <w:rPr>
                <w:sz w:val="28"/>
                <w:szCs w:val="28"/>
              </w:rPr>
              <w:t>об’єктів</w:t>
            </w:r>
            <w:proofErr w:type="spellEnd"/>
          </w:p>
        </w:tc>
        <w:tc>
          <w:tcPr>
            <w:tcW w:w="1528" w:type="dxa"/>
          </w:tcPr>
          <w:p w:rsidR="002937FE" w:rsidRDefault="002937FE" w:rsidP="002937FE">
            <w:pPr>
              <w:pStyle w:val="Defaul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10,0</w:t>
            </w:r>
          </w:p>
        </w:tc>
        <w:tc>
          <w:tcPr>
            <w:tcW w:w="1552" w:type="dxa"/>
          </w:tcPr>
          <w:p w:rsidR="002937FE" w:rsidRDefault="002937FE" w:rsidP="002937FE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20,0</w:t>
            </w:r>
          </w:p>
          <w:p w:rsidR="002937FE" w:rsidRDefault="002937FE" w:rsidP="002937FE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</w:p>
          <w:p w:rsidR="002937FE" w:rsidRDefault="002937FE" w:rsidP="002937FE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</w:p>
          <w:p w:rsidR="002937FE" w:rsidRDefault="002937FE" w:rsidP="002937FE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</w:p>
          <w:p w:rsidR="002937FE" w:rsidRPr="002937FE" w:rsidRDefault="002937FE" w:rsidP="002937FE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</w:p>
          <w:p w:rsidR="002937FE" w:rsidRDefault="002937FE" w:rsidP="002937FE">
            <w:pPr>
              <w:pStyle w:val="Default"/>
              <w:jc w:val="center"/>
              <w:rPr>
                <w:color w:val="auto"/>
                <w:lang w:val="uk-UA"/>
              </w:rPr>
            </w:pPr>
            <w:r>
              <w:rPr>
                <w:sz w:val="28"/>
                <w:szCs w:val="28"/>
              </w:rPr>
              <w:t xml:space="preserve">6 </w:t>
            </w:r>
            <w:proofErr w:type="spellStart"/>
            <w:r>
              <w:rPr>
                <w:sz w:val="28"/>
                <w:szCs w:val="28"/>
              </w:rPr>
              <w:t>об’єктів</w:t>
            </w:r>
            <w:proofErr w:type="spellEnd"/>
          </w:p>
        </w:tc>
      </w:tr>
      <w:tr w:rsidR="002937FE" w:rsidTr="00A47D0F">
        <w:tc>
          <w:tcPr>
            <w:tcW w:w="2235" w:type="dxa"/>
          </w:tcPr>
          <w:p w:rsidR="002937FE" w:rsidRPr="002937FE" w:rsidRDefault="002937FE" w:rsidP="002937FE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Зменшення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розвитку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екзогенних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процесів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території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5" w:type="dxa"/>
          </w:tcPr>
          <w:p w:rsidR="002937FE" w:rsidRPr="002937FE" w:rsidRDefault="002937FE" w:rsidP="002937FE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Ліквідація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наслідків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підтоплення</w:t>
            </w:r>
            <w:proofErr w:type="spellEnd"/>
            <w:r>
              <w:rPr>
                <w:sz w:val="28"/>
                <w:szCs w:val="28"/>
              </w:rPr>
              <w:t xml:space="preserve"> шляхом </w:t>
            </w:r>
            <w:proofErr w:type="spellStart"/>
            <w:r>
              <w:rPr>
                <w:sz w:val="28"/>
                <w:szCs w:val="28"/>
              </w:rPr>
              <w:t>будівництва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дренажних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колекторів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1" w:type="dxa"/>
          </w:tcPr>
          <w:p w:rsidR="002937FE" w:rsidRDefault="002937FE" w:rsidP="002937FE">
            <w:pPr>
              <w:pStyle w:val="Defaul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будівельна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готовність</w:t>
            </w:r>
            <w:proofErr w:type="spellEnd"/>
            <w:r>
              <w:rPr>
                <w:sz w:val="28"/>
                <w:szCs w:val="28"/>
              </w:rPr>
              <w:t>, %</w:t>
            </w:r>
          </w:p>
          <w:p w:rsidR="002937FE" w:rsidRDefault="002937FE" w:rsidP="002937FE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</w:p>
          <w:p w:rsidR="002937FE" w:rsidRDefault="002937FE" w:rsidP="002937FE">
            <w:pPr>
              <w:pStyle w:val="Default"/>
              <w:jc w:val="center"/>
              <w:rPr>
                <w:color w:val="auto"/>
                <w:lang w:val="uk-UA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об’єкт</w:t>
            </w:r>
            <w:proofErr w:type="spellEnd"/>
          </w:p>
        </w:tc>
        <w:tc>
          <w:tcPr>
            <w:tcW w:w="1528" w:type="dxa"/>
          </w:tcPr>
          <w:p w:rsidR="002937FE" w:rsidRDefault="002937FE" w:rsidP="002937F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</w:t>
            </w:r>
          </w:p>
          <w:p w:rsidR="002937FE" w:rsidRDefault="002937FE" w:rsidP="002937FE">
            <w:pPr>
              <w:pStyle w:val="Default"/>
              <w:jc w:val="center"/>
              <w:rPr>
                <w:color w:val="auto"/>
                <w:lang w:val="uk-UA"/>
              </w:rPr>
            </w:pPr>
          </w:p>
        </w:tc>
        <w:tc>
          <w:tcPr>
            <w:tcW w:w="1552" w:type="dxa"/>
          </w:tcPr>
          <w:p w:rsidR="002937FE" w:rsidRDefault="002937FE" w:rsidP="002937FE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92,0</w:t>
            </w:r>
          </w:p>
          <w:p w:rsidR="002937FE" w:rsidRDefault="002937FE" w:rsidP="002937FE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</w:p>
          <w:p w:rsidR="002937FE" w:rsidRDefault="002937FE" w:rsidP="002937FE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</w:p>
          <w:p w:rsidR="002937FE" w:rsidRDefault="002937FE" w:rsidP="002937FE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</w:p>
          <w:p w:rsidR="002937FE" w:rsidRDefault="002937FE" w:rsidP="002937FE">
            <w:pPr>
              <w:pStyle w:val="Default"/>
              <w:jc w:val="center"/>
              <w:rPr>
                <w:color w:val="auto"/>
                <w:lang w:val="uk-UA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об’єкт</w:t>
            </w:r>
            <w:proofErr w:type="spellEnd"/>
          </w:p>
        </w:tc>
      </w:tr>
    </w:tbl>
    <w:p w:rsidR="002937FE" w:rsidRDefault="002937FE" w:rsidP="002937FE">
      <w:pPr>
        <w:pStyle w:val="Defaul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Таким чином, </w:t>
      </w:r>
      <w:proofErr w:type="spellStart"/>
      <w:r>
        <w:rPr>
          <w:sz w:val="28"/>
          <w:szCs w:val="28"/>
        </w:rPr>
        <w:t>запропоновані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показники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допоможуть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місцевим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регіональним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національним</w:t>
      </w:r>
      <w:proofErr w:type="spellEnd"/>
      <w:r>
        <w:rPr>
          <w:sz w:val="28"/>
          <w:szCs w:val="28"/>
        </w:rPr>
        <w:t xml:space="preserve"> органам </w:t>
      </w:r>
      <w:proofErr w:type="spellStart"/>
      <w:r>
        <w:rPr>
          <w:sz w:val="28"/>
          <w:szCs w:val="28"/>
        </w:rPr>
        <w:t>влади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громадськості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відстежувати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вплив</w:t>
      </w:r>
      <w:proofErr w:type="spellEnd"/>
      <w:r>
        <w:rPr>
          <w:sz w:val="28"/>
          <w:szCs w:val="28"/>
        </w:rPr>
        <w:t xml:space="preserve"> на стан </w:t>
      </w:r>
      <w:proofErr w:type="spellStart"/>
      <w:r>
        <w:rPr>
          <w:sz w:val="28"/>
          <w:szCs w:val="28"/>
        </w:rPr>
        <w:t>довкілля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>.</w:t>
      </w:r>
    </w:p>
    <w:p w:rsidR="002937FE" w:rsidRPr="00A47D0F" w:rsidRDefault="002937FE" w:rsidP="002937FE">
      <w:pPr>
        <w:rPr>
          <w:lang w:val="uk-UA"/>
        </w:rPr>
      </w:pPr>
    </w:p>
    <w:sectPr w:rsidR="002937FE" w:rsidRPr="00A47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FE"/>
    <w:rsid w:val="000273F4"/>
    <w:rsid w:val="002937FE"/>
    <w:rsid w:val="004C65A8"/>
    <w:rsid w:val="00523B69"/>
    <w:rsid w:val="00894524"/>
    <w:rsid w:val="009636D2"/>
    <w:rsid w:val="00A47D0F"/>
    <w:rsid w:val="00C6761D"/>
    <w:rsid w:val="00FA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29DB2"/>
  <w15:docId w15:val="{B75442E0-BA77-468E-912F-C0120A3C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37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93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6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6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user552c</dc:creator>
  <cp:lastModifiedBy>user552e</cp:lastModifiedBy>
  <cp:revision>7</cp:revision>
  <cp:lastPrinted>2020-12-29T14:57:00Z</cp:lastPrinted>
  <dcterms:created xsi:type="dcterms:W3CDTF">2020-12-28T07:24:00Z</dcterms:created>
  <dcterms:modified xsi:type="dcterms:W3CDTF">2020-12-29T15:05:00Z</dcterms:modified>
</cp:coreProperties>
</file>