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B3" w:rsidRPr="007F2081" w:rsidRDefault="009044B3" w:rsidP="007F2081">
      <w:pPr>
        <w:pStyle w:val="Default"/>
        <w:jc w:val="center"/>
        <w:rPr>
          <w:sz w:val="28"/>
          <w:szCs w:val="28"/>
          <w:lang w:val="uk-UA"/>
        </w:rPr>
      </w:pPr>
      <w:bookmarkStart w:id="0" w:name="_GoBack"/>
      <w:bookmarkEnd w:id="0"/>
      <w:r w:rsidRPr="007F2081">
        <w:rPr>
          <w:b/>
          <w:bCs/>
          <w:sz w:val="28"/>
          <w:szCs w:val="28"/>
          <w:lang w:val="uk-UA"/>
        </w:rPr>
        <w:t>ЗАЯВА</w:t>
      </w:r>
    </w:p>
    <w:p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BA6712">
        <w:rPr>
          <w:b/>
          <w:bCs/>
          <w:sz w:val="28"/>
          <w:szCs w:val="28"/>
          <w:lang w:val="uk-UA"/>
        </w:rPr>
        <w:t>Д</w:t>
      </w:r>
      <w:r w:rsidR="00EA7AAB">
        <w:rPr>
          <w:b/>
          <w:bCs/>
          <w:sz w:val="28"/>
          <w:szCs w:val="28"/>
          <w:lang w:val="uk-UA"/>
        </w:rPr>
        <w:t xml:space="preserve">оповнень 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EA7AAB">
        <w:rPr>
          <w:b/>
          <w:bCs/>
          <w:sz w:val="28"/>
          <w:szCs w:val="28"/>
          <w:lang w:val="uk-UA"/>
        </w:rPr>
        <w:t xml:space="preserve"> </w:t>
      </w:r>
      <w:r w:rsidR="007F2081" w:rsidRPr="007F2081">
        <w:rPr>
          <w:b/>
          <w:bCs/>
          <w:sz w:val="28"/>
          <w:szCs w:val="28"/>
          <w:lang w:val="uk-UA"/>
        </w:rPr>
        <w:t>на 202</w:t>
      </w:r>
      <w:r w:rsidR="00AF021C">
        <w:rPr>
          <w:b/>
          <w:bCs/>
          <w:sz w:val="28"/>
          <w:szCs w:val="28"/>
          <w:lang w:val="uk-UA"/>
        </w:rPr>
        <w:t>2 -2024</w:t>
      </w:r>
      <w:r w:rsidR="007F2081" w:rsidRPr="007F2081">
        <w:rPr>
          <w:b/>
          <w:bCs/>
          <w:sz w:val="28"/>
          <w:szCs w:val="28"/>
          <w:lang w:val="uk-UA"/>
        </w:rPr>
        <w:t xml:space="preserve"> р</w:t>
      </w:r>
      <w:r w:rsidR="00AF021C">
        <w:rPr>
          <w:b/>
          <w:bCs/>
          <w:sz w:val="28"/>
          <w:szCs w:val="28"/>
          <w:lang w:val="uk-UA"/>
        </w:rPr>
        <w:t>оки</w:t>
      </w:r>
    </w:p>
    <w:p w:rsidR="009044B3" w:rsidRPr="00770EC5" w:rsidRDefault="009044B3" w:rsidP="007F2081">
      <w:pPr>
        <w:pStyle w:val="a3"/>
        <w:shd w:val="clear" w:color="auto" w:fill="FFFFFF"/>
        <w:spacing w:before="0" w:beforeAutospacing="0"/>
        <w:jc w:val="center"/>
        <w:rPr>
          <w:rStyle w:val="a4"/>
          <w:sz w:val="28"/>
          <w:szCs w:val="28"/>
          <w:lang w:val="uk-UA"/>
        </w:rPr>
      </w:pPr>
    </w:p>
    <w:p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rsidR="009044B3" w:rsidRPr="007F2081" w:rsidRDefault="009044B3" w:rsidP="009044B3">
      <w:pPr>
        <w:pStyle w:val="a3"/>
        <w:shd w:val="clear" w:color="auto" w:fill="FFFFFF"/>
        <w:spacing w:before="0" w:beforeAutospacing="0" w:after="0" w:afterAutospacing="0"/>
        <w:ind w:firstLine="567"/>
        <w:jc w:val="both"/>
        <w:rPr>
          <w:color w:val="FF0000"/>
          <w:sz w:val="28"/>
          <w:szCs w:val="28"/>
          <w:lang w:val="uk-UA"/>
        </w:rPr>
      </w:pPr>
    </w:p>
    <w:p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AF021C">
        <w:rPr>
          <w:sz w:val="28"/>
          <w:szCs w:val="28"/>
          <w:lang w:val="uk-UA"/>
        </w:rPr>
        <w:t xml:space="preserve">2-2024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rsidR="00BE267F" w:rsidRPr="00770EC5" w:rsidRDefault="009044B3"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Головною метою Програми є</w:t>
      </w:r>
      <w:r w:rsidR="00BE267F" w:rsidRPr="00770EC5">
        <w:rPr>
          <w:sz w:val="28"/>
          <w:szCs w:val="28"/>
          <w:lang w:val="uk-UA"/>
        </w:rPr>
        <w:t xml:space="preserve"> збереження та зміцнення соціальної стабільності як основи економічного зростання, </w:t>
      </w:r>
      <w:r w:rsidR="00375775" w:rsidRPr="00770EC5">
        <w:rPr>
          <w:sz w:val="28"/>
          <w:szCs w:val="28"/>
          <w:lang w:val="uk-UA"/>
        </w:rPr>
        <w:t>вдосконалення</w:t>
      </w:r>
      <w:r w:rsidR="00BE267F" w:rsidRPr="00770EC5">
        <w:rPr>
          <w:sz w:val="28"/>
          <w:szCs w:val="28"/>
          <w:lang w:val="uk-UA"/>
        </w:rPr>
        <w:t xml:space="preserve"> механізмів управління розвитком міста, забезпечення сталого функціонування господарського комплексу, соціальної та гуманітарної сфер міста, відродження духовності мешканців міста.</w:t>
      </w:r>
    </w:p>
    <w:p w:rsidR="00D3517D" w:rsidRPr="00770EC5" w:rsidRDefault="009044B3" w:rsidP="009044B3">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Програму</w:t>
      </w:r>
      <w:r w:rsidR="007F2081" w:rsidRPr="00770EC5">
        <w:rPr>
          <w:sz w:val="28"/>
          <w:szCs w:val="28"/>
          <w:lang w:val="uk-UA"/>
        </w:rPr>
        <w:t xml:space="preserve"> </w:t>
      </w:r>
      <w:r w:rsidRPr="00770EC5">
        <w:rPr>
          <w:sz w:val="28"/>
          <w:szCs w:val="28"/>
          <w:lang w:val="uk-UA"/>
        </w:rPr>
        <w:t xml:space="preserve">розроблено з урахуванням </w:t>
      </w:r>
      <w:r w:rsidR="00D3517D" w:rsidRPr="00770EC5">
        <w:rPr>
          <w:sz w:val="28"/>
          <w:szCs w:val="28"/>
          <w:lang w:val="uk-UA"/>
        </w:rPr>
        <w:t>документ</w:t>
      </w:r>
      <w:r w:rsidRPr="00770EC5">
        <w:rPr>
          <w:sz w:val="28"/>
          <w:szCs w:val="28"/>
          <w:lang w:val="uk-UA"/>
        </w:rPr>
        <w:t>ів</w:t>
      </w:r>
      <w:r w:rsidR="00D3517D" w:rsidRPr="00770EC5">
        <w:rPr>
          <w:sz w:val="28"/>
          <w:szCs w:val="28"/>
          <w:lang w:val="uk-UA"/>
        </w:rPr>
        <w:t xml:space="preserve"> державного планування:</w:t>
      </w:r>
    </w:p>
    <w:p w:rsidR="009044B3" w:rsidRPr="00770EC5" w:rsidRDefault="00717116" w:rsidP="009044B3">
      <w:pPr>
        <w:pStyle w:val="a7"/>
        <w:numPr>
          <w:ilvl w:val="0"/>
          <w:numId w:val="1"/>
        </w:numPr>
        <w:spacing w:after="0" w:line="240" w:lineRule="auto"/>
        <w:ind w:left="0" w:firstLine="567"/>
        <w:jc w:val="both"/>
        <w:rPr>
          <w:rStyle w:val="a6"/>
          <w:rFonts w:ascii="Times New Roman" w:hAnsi="Times New Roman" w:cs="Times New Roman"/>
          <w:color w:val="auto"/>
          <w:sz w:val="28"/>
          <w:szCs w:val="28"/>
          <w:u w:val="none"/>
          <w:lang w:val="uk-UA"/>
        </w:rPr>
      </w:pPr>
      <w:hyperlink r:id="rId6" w:history="1">
        <w:r w:rsidR="00904D7C" w:rsidRPr="00770EC5">
          <w:rPr>
            <w:rStyle w:val="a6"/>
            <w:rFonts w:ascii="Times New Roman" w:hAnsi="Times New Roman" w:cs="Times New Roman"/>
            <w:color w:val="auto"/>
            <w:sz w:val="28"/>
            <w:szCs w:val="28"/>
            <w:lang w:val="uk-UA"/>
          </w:rPr>
          <w:t xml:space="preserve">Закон України </w:t>
        </w:r>
      </w:hyperlink>
      <w:r w:rsidR="00904D7C" w:rsidRPr="00770EC5">
        <w:rPr>
          <w:rStyle w:val="a6"/>
          <w:rFonts w:ascii="Times New Roman" w:hAnsi="Times New Roman" w:cs="Times New Roman"/>
          <w:color w:val="auto"/>
          <w:sz w:val="28"/>
          <w:szCs w:val="28"/>
          <w:lang w:val="uk-UA"/>
        </w:rPr>
        <w:t>«Про державне прогнозування та розроблення програм економічного і соціального розвитку України»</w:t>
      </w:r>
      <w:r w:rsidR="009044B3" w:rsidRPr="00770EC5">
        <w:rPr>
          <w:rStyle w:val="a6"/>
          <w:rFonts w:ascii="Times New Roman" w:hAnsi="Times New Roman" w:cs="Times New Roman"/>
          <w:color w:val="auto"/>
          <w:sz w:val="28"/>
          <w:szCs w:val="28"/>
          <w:lang w:val="uk-UA"/>
        </w:rPr>
        <w:t>;</w:t>
      </w:r>
    </w:p>
    <w:p w:rsidR="009044B3" w:rsidRPr="00770EC5" w:rsidRDefault="00904D7C" w:rsidP="009044B3">
      <w:pPr>
        <w:pStyle w:val="a7"/>
        <w:numPr>
          <w:ilvl w:val="0"/>
          <w:numId w:val="1"/>
        </w:numPr>
        <w:spacing w:after="0" w:line="240" w:lineRule="auto"/>
        <w:ind w:left="0" w:firstLine="567"/>
        <w:jc w:val="both"/>
        <w:rPr>
          <w:rFonts w:ascii="Times New Roman" w:hAnsi="Times New Roman" w:cs="Times New Roman"/>
          <w:sz w:val="28"/>
          <w:szCs w:val="28"/>
          <w:lang w:val="uk-UA"/>
        </w:rPr>
      </w:pPr>
      <w:r w:rsidRPr="00770EC5">
        <w:rPr>
          <w:rStyle w:val="a6"/>
          <w:rFonts w:ascii="Times New Roman" w:hAnsi="Times New Roman" w:cs="Times New Roman"/>
          <w:color w:val="auto"/>
          <w:sz w:val="28"/>
          <w:szCs w:val="28"/>
          <w:lang w:val="uk-UA"/>
        </w:rPr>
        <w:t xml:space="preserve"> </w:t>
      </w:r>
      <w:r w:rsidRPr="00770EC5">
        <w:rPr>
          <w:rFonts w:ascii="Times New Roman" w:hAnsi="Times New Roman" w:cs="Times New Roman"/>
          <w:sz w:val="28"/>
          <w:szCs w:val="28"/>
          <w:lang w:val="uk-UA"/>
        </w:rPr>
        <w:t xml:space="preserve"> постанов</w:t>
      </w:r>
      <w:r w:rsidR="009044B3" w:rsidRPr="00770EC5">
        <w:rPr>
          <w:rFonts w:ascii="Times New Roman" w:hAnsi="Times New Roman" w:cs="Times New Roman"/>
          <w:sz w:val="28"/>
          <w:szCs w:val="28"/>
          <w:lang w:val="uk-UA"/>
        </w:rPr>
        <w:t>а</w:t>
      </w:r>
      <w:r w:rsidRPr="00770EC5">
        <w:rPr>
          <w:rFonts w:ascii="Times New Roman" w:hAnsi="Times New Roman" w:cs="Times New Roman"/>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770EC5">
        <w:rPr>
          <w:rFonts w:ascii="Times New Roman" w:hAnsi="Times New Roman" w:cs="Times New Roman"/>
          <w:sz w:val="28"/>
          <w:szCs w:val="28"/>
          <w:lang w:val="uk-UA"/>
        </w:rPr>
        <w:t>ржавного бюджету» (зі змінами);</w:t>
      </w:r>
    </w:p>
    <w:p w:rsidR="00904D7C" w:rsidRDefault="00904D7C" w:rsidP="009044B3">
      <w:pPr>
        <w:pStyle w:val="a7"/>
        <w:numPr>
          <w:ilvl w:val="0"/>
          <w:numId w:val="1"/>
        </w:numPr>
        <w:spacing w:after="0" w:line="240" w:lineRule="auto"/>
        <w:ind w:left="0" w:firstLine="567"/>
        <w:jc w:val="both"/>
        <w:rPr>
          <w:rFonts w:ascii="Times New Roman" w:hAnsi="Times New Roman" w:cs="Times New Roman"/>
          <w:sz w:val="28"/>
          <w:szCs w:val="28"/>
          <w:lang w:val="uk-UA"/>
        </w:rPr>
      </w:pPr>
      <w:r w:rsidRPr="00FC1431">
        <w:rPr>
          <w:rFonts w:ascii="Times New Roman" w:hAnsi="Times New Roman" w:cs="Times New Roman"/>
          <w:sz w:val="28"/>
          <w:szCs w:val="28"/>
          <w:lang w:val="uk-UA"/>
        </w:rPr>
        <w:t>постанов</w:t>
      </w:r>
      <w:r w:rsidR="009044B3" w:rsidRPr="00FC1431">
        <w:rPr>
          <w:rFonts w:ascii="Times New Roman" w:hAnsi="Times New Roman" w:cs="Times New Roman"/>
          <w:sz w:val="28"/>
          <w:szCs w:val="28"/>
          <w:lang w:val="uk-UA"/>
        </w:rPr>
        <w:t>а</w:t>
      </w:r>
      <w:r w:rsidRPr="00FC1431">
        <w:rPr>
          <w:rFonts w:ascii="Times New Roman" w:hAnsi="Times New Roman" w:cs="Times New Roman"/>
          <w:sz w:val="28"/>
          <w:szCs w:val="28"/>
          <w:lang w:val="uk-UA"/>
        </w:rPr>
        <w:t xml:space="preserve"> Кабінету Міністрів України від </w:t>
      </w:r>
      <w:r w:rsidR="00FC1431" w:rsidRPr="00FC1431">
        <w:rPr>
          <w:rFonts w:ascii="Times New Roman" w:hAnsi="Times New Roman" w:cs="Times New Roman"/>
          <w:sz w:val="28"/>
          <w:szCs w:val="28"/>
          <w:lang w:val="uk-UA"/>
        </w:rPr>
        <w:t>31</w:t>
      </w:r>
      <w:r w:rsidRPr="00FC1431">
        <w:rPr>
          <w:rFonts w:ascii="Times New Roman" w:hAnsi="Times New Roman" w:cs="Times New Roman"/>
          <w:sz w:val="28"/>
          <w:szCs w:val="28"/>
          <w:lang w:val="uk-UA"/>
        </w:rPr>
        <w:t>.0</w:t>
      </w:r>
      <w:r w:rsidR="00FC1431" w:rsidRPr="00FC1431">
        <w:rPr>
          <w:rFonts w:ascii="Times New Roman" w:hAnsi="Times New Roman" w:cs="Times New Roman"/>
          <w:sz w:val="28"/>
          <w:szCs w:val="28"/>
          <w:lang w:val="uk-UA"/>
        </w:rPr>
        <w:t>5</w:t>
      </w:r>
      <w:r w:rsidRPr="00FC1431">
        <w:rPr>
          <w:rFonts w:ascii="Times New Roman" w:hAnsi="Times New Roman" w:cs="Times New Roman"/>
          <w:sz w:val="28"/>
          <w:szCs w:val="28"/>
          <w:lang w:val="uk-UA"/>
        </w:rPr>
        <w:t>.202</w:t>
      </w:r>
      <w:r w:rsidR="00FC1431" w:rsidRPr="00FC1431">
        <w:rPr>
          <w:rFonts w:ascii="Times New Roman" w:hAnsi="Times New Roman" w:cs="Times New Roman"/>
          <w:sz w:val="28"/>
          <w:szCs w:val="28"/>
          <w:lang w:val="uk-UA"/>
        </w:rPr>
        <w:t>1</w:t>
      </w:r>
      <w:r w:rsidRPr="00FC1431">
        <w:rPr>
          <w:rFonts w:ascii="Times New Roman" w:hAnsi="Times New Roman" w:cs="Times New Roman"/>
          <w:sz w:val="28"/>
          <w:szCs w:val="28"/>
          <w:lang w:val="uk-UA"/>
        </w:rPr>
        <w:t xml:space="preserve"> №</w:t>
      </w:r>
      <w:r w:rsidR="00FC1431" w:rsidRPr="00FC1431">
        <w:rPr>
          <w:rFonts w:ascii="Times New Roman" w:hAnsi="Times New Roman" w:cs="Times New Roman"/>
          <w:sz w:val="28"/>
          <w:szCs w:val="28"/>
          <w:lang w:val="uk-UA"/>
        </w:rPr>
        <w:t>586</w:t>
      </w:r>
      <w:r w:rsidRPr="00FC1431">
        <w:rPr>
          <w:rFonts w:ascii="Times New Roman" w:hAnsi="Times New Roman" w:cs="Times New Roman"/>
          <w:sz w:val="28"/>
          <w:szCs w:val="28"/>
          <w:lang w:val="uk-UA"/>
        </w:rPr>
        <w:t xml:space="preserve"> «Про с</w:t>
      </w:r>
      <w:r w:rsidR="002A45DC" w:rsidRPr="00FC1431">
        <w:rPr>
          <w:rFonts w:ascii="Times New Roman" w:hAnsi="Times New Roman" w:cs="Times New Roman"/>
          <w:sz w:val="28"/>
          <w:szCs w:val="28"/>
          <w:lang w:val="uk-UA"/>
        </w:rPr>
        <w:t>х</w:t>
      </w:r>
      <w:r w:rsidRPr="00FC1431">
        <w:rPr>
          <w:rFonts w:ascii="Times New Roman" w:hAnsi="Times New Roman" w:cs="Times New Roman"/>
          <w:sz w:val="28"/>
          <w:szCs w:val="28"/>
          <w:lang w:val="uk-UA"/>
        </w:rPr>
        <w:t>в</w:t>
      </w:r>
      <w:r w:rsidR="00FC1431" w:rsidRPr="00FC1431">
        <w:rPr>
          <w:rFonts w:ascii="Times New Roman" w:hAnsi="Times New Roman" w:cs="Times New Roman"/>
          <w:sz w:val="28"/>
          <w:szCs w:val="28"/>
          <w:lang w:val="uk-UA"/>
        </w:rPr>
        <w:t>алення П</w:t>
      </w:r>
      <w:r w:rsidRPr="00FC1431">
        <w:rPr>
          <w:rFonts w:ascii="Times New Roman" w:hAnsi="Times New Roman" w:cs="Times New Roman"/>
          <w:sz w:val="28"/>
          <w:szCs w:val="28"/>
          <w:lang w:val="uk-UA"/>
        </w:rPr>
        <w:t>рогнозу економічного і соціального розвитку України на 202</w:t>
      </w:r>
      <w:r w:rsidR="00FC1431" w:rsidRPr="00FC1431">
        <w:rPr>
          <w:rFonts w:ascii="Times New Roman" w:hAnsi="Times New Roman" w:cs="Times New Roman"/>
          <w:sz w:val="28"/>
          <w:szCs w:val="28"/>
          <w:lang w:val="uk-UA"/>
        </w:rPr>
        <w:t>2</w:t>
      </w:r>
      <w:r w:rsidRPr="00FC1431">
        <w:rPr>
          <w:rFonts w:ascii="Times New Roman" w:hAnsi="Times New Roman" w:cs="Times New Roman"/>
          <w:sz w:val="28"/>
          <w:szCs w:val="28"/>
          <w:lang w:val="uk-UA"/>
        </w:rPr>
        <w:t>-202</w:t>
      </w:r>
      <w:r w:rsidR="00FC1431" w:rsidRPr="00FC1431">
        <w:rPr>
          <w:rFonts w:ascii="Times New Roman" w:hAnsi="Times New Roman" w:cs="Times New Roman"/>
          <w:sz w:val="28"/>
          <w:szCs w:val="28"/>
          <w:lang w:val="uk-UA"/>
        </w:rPr>
        <w:t>4</w:t>
      </w:r>
      <w:r w:rsidRPr="00FC1431">
        <w:rPr>
          <w:rFonts w:ascii="Times New Roman" w:hAnsi="Times New Roman" w:cs="Times New Roman"/>
          <w:sz w:val="28"/>
          <w:szCs w:val="28"/>
          <w:lang w:val="uk-UA"/>
        </w:rPr>
        <w:t xml:space="preserve"> роки».</w:t>
      </w:r>
    </w:p>
    <w:p w:rsidR="00BA6712" w:rsidRPr="00BA6712" w:rsidRDefault="00BA6712" w:rsidP="00BA6712">
      <w:pPr>
        <w:spacing w:after="0" w:line="240" w:lineRule="auto"/>
        <w:ind w:firstLine="567"/>
        <w:jc w:val="both"/>
        <w:rPr>
          <w:rFonts w:ascii="Times New Roman" w:hAnsi="Times New Roman" w:cs="Times New Roman"/>
          <w:sz w:val="28"/>
          <w:szCs w:val="28"/>
          <w:lang w:val="uk-UA"/>
        </w:rPr>
      </w:pPr>
      <w:r w:rsidRPr="00BA6712">
        <w:rPr>
          <w:rFonts w:ascii="Times New Roman" w:hAnsi="Times New Roman" w:cs="Times New Roman"/>
          <w:sz w:val="28"/>
          <w:szCs w:val="28"/>
          <w:lang w:val="uk-UA"/>
        </w:rPr>
        <w:t>Враховуючи вищевикладене з метою максимальної реалізації інтересів міської громади</w:t>
      </w:r>
      <w:r>
        <w:rPr>
          <w:rFonts w:ascii="Times New Roman" w:hAnsi="Times New Roman" w:cs="Times New Roman"/>
          <w:sz w:val="28"/>
          <w:szCs w:val="28"/>
          <w:lang w:val="uk-UA"/>
        </w:rPr>
        <w:t xml:space="preserve"> </w:t>
      </w:r>
      <w:r w:rsidRPr="00BA6712">
        <w:rPr>
          <w:rFonts w:ascii="Times New Roman" w:hAnsi="Times New Roman" w:cs="Times New Roman"/>
          <w:sz w:val="28"/>
          <w:szCs w:val="28"/>
          <w:lang w:val="uk-UA"/>
        </w:rPr>
        <w:t>відповідно до Постанови Кабінету Міністрів України</w:t>
      </w:r>
      <w:r>
        <w:rPr>
          <w:rFonts w:ascii="Times New Roman" w:hAnsi="Times New Roman" w:cs="Times New Roman"/>
          <w:sz w:val="28"/>
          <w:szCs w:val="28"/>
          <w:lang w:val="uk-UA"/>
        </w:rPr>
        <w:t xml:space="preserve"> </w:t>
      </w:r>
      <w:r w:rsidRPr="00BA6712">
        <w:rPr>
          <w:rFonts w:ascii="Times New Roman" w:hAnsi="Times New Roman" w:cs="Times New Roman"/>
          <w:sz w:val="28"/>
          <w:szCs w:val="28"/>
          <w:lang w:val="uk-UA"/>
        </w:rPr>
        <w:t>№590 від 09.03.2022 «Про затвердження Порядку виконання Державною</w:t>
      </w:r>
      <w:r>
        <w:rPr>
          <w:rFonts w:ascii="Times New Roman" w:hAnsi="Times New Roman" w:cs="Times New Roman"/>
          <w:sz w:val="28"/>
          <w:szCs w:val="28"/>
          <w:lang w:val="uk-UA"/>
        </w:rPr>
        <w:t xml:space="preserve"> </w:t>
      </w:r>
      <w:r w:rsidRPr="00BA6712">
        <w:rPr>
          <w:rFonts w:ascii="Times New Roman" w:hAnsi="Times New Roman" w:cs="Times New Roman"/>
          <w:sz w:val="28"/>
          <w:szCs w:val="28"/>
          <w:lang w:val="uk-UA"/>
        </w:rPr>
        <w:t>казначейською службою в особливому режимі в умовах воєнного стану»</w:t>
      </w:r>
      <w:r>
        <w:rPr>
          <w:rFonts w:ascii="Times New Roman" w:hAnsi="Times New Roman" w:cs="Times New Roman"/>
          <w:sz w:val="28"/>
          <w:szCs w:val="28"/>
          <w:lang w:val="uk-UA"/>
        </w:rPr>
        <w:t xml:space="preserve"> </w:t>
      </w:r>
      <w:r w:rsidRPr="00BA6712">
        <w:rPr>
          <w:rFonts w:ascii="Times New Roman" w:hAnsi="Times New Roman" w:cs="Times New Roman"/>
          <w:sz w:val="28"/>
          <w:szCs w:val="28"/>
          <w:lang w:val="uk-UA"/>
        </w:rPr>
        <w:t>враховуючи підпункт 2 пункту 1 постанови Кабінету Міністрів України від</w:t>
      </w:r>
      <w:r>
        <w:rPr>
          <w:rFonts w:ascii="Times New Roman" w:hAnsi="Times New Roman" w:cs="Times New Roman"/>
          <w:sz w:val="28"/>
          <w:szCs w:val="28"/>
          <w:lang w:val="uk-UA"/>
        </w:rPr>
        <w:t xml:space="preserve"> </w:t>
      </w:r>
      <w:r w:rsidRPr="00BA6712">
        <w:rPr>
          <w:rFonts w:ascii="Times New Roman" w:hAnsi="Times New Roman" w:cs="Times New Roman"/>
          <w:sz w:val="28"/>
          <w:szCs w:val="28"/>
          <w:lang w:val="uk-UA"/>
        </w:rPr>
        <w:t>11.03.2022 №252 «Деякі питання формування та виконання місцевих бюджетів</w:t>
      </w:r>
      <w:r w:rsidR="00375775">
        <w:rPr>
          <w:rFonts w:ascii="Times New Roman" w:hAnsi="Times New Roman" w:cs="Times New Roman"/>
          <w:sz w:val="28"/>
          <w:szCs w:val="28"/>
          <w:lang w:val="uk-UA"/>
        </w:rPr>
        <w:t>.</w:t>
      </w:r>
    </w:p>
    <w:p w:rsidR="00BA6712" w:rsidRDefault="00BA6712" w:rsidP="00BA6712">
      <w:pPr>
        <w:spacing w:after="0" w:line="240" w:lineRule="auto"/>
        <w:jc w:val="both"/>
        <w:rPr>
          <w:rFonts w:ascii="Times New Roman" w:hAnsi="Times New Roman" w:cs="Times New Roman"/>
          <w:sz w:val="28"/>
          <w:szCs w:val="28"/>
          <w:lang w:val="uk-UA"/>
        </w:rPr>
      </w:pPr>
      <w:r w:rsidRPr="00BA6712">
        <w:rPr>
          <w:rFonts w:ascii="Times New Roman" w:hAnsi="Times New Roman" w:cs="Times New Roman"/>
          <w:sz w:val="28"/>
          <w:szCs w:val="28"/>
          <w:lang w:val="uk-UA"/>
        </w:rPr>
        <w:lastRenderedPageBreak/>
        <w:t>у період воєнного стану» (зі змінами), лист департаменту житлово-комунального господарства від 14596/08.01.01/</w:t>
      </w:r>
      <w:r>
        <w:rPr>
          <w:rFonts w:ascii="Times New Roman" w:hAnsi="Times New Roman" w:cs="Times New Roman"/>
          <w:sz w:val="28"/>
          <w:szCs w:val="28"/>
          <w:lang w:val="uk-UA"/>
        </w:rPr>
        <w:t xml:space="preserve">22-2 від 03.10.2022 виникла необхідність внесення доповнень до Програми економічного і соціального розвитку м. Миколаєва, затвердженої рішенням Миколаївської міської ради </w:t>
      </w:r>
      <w:r w:rsidR="00B06325">
        <w:rPr>
          <w:rFonts w:ascii="Times New Roman" w:hAnsi="Times New Roman" w:cs="Times New Roman"/>
          <w:sz w:val="28"/>
          <w:szCs w:val="28"/>
          <w:lang w:val="uk-UA"/>
        </w:rPr>
        <w:t>від 23.12.2021 № 12/18.</w:t>
      </w:r>
    </w:p>
    <w:p w:rsidR="00B06325" w:rsidRDefault="00B06325" w:rsidP="00BA67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Доповнення, що вносяться до Програми, передбачають:</w:t>
      </w:r>
    </w:p>
    <w:p w:rsidR="00BA6712" w:rsidRDefault="00B06325" w:rsidP="00B063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до </w:t>
      </w:r>
      <w:r w:rsidRPr="00B06325">
        <w:rPr>
          <w:rFonts w:ascii="Times New Roman" w:hAnsi="Times New Roman" w:cs="Times New Roman"/>
          <w:sz w:val="28"/>
          <w:szCs w:val="28"/>
          <w:lang w:val="uk-UA"/>
        </w:rPr>
        <w:t xml:space="preserve">додатка 3 </w:t>
      </w:r>
      <w:r w:rsidR="00375775">
        <w:rPr>
          <w:rFonts w:ascii="Times New Roman" w:hAnsi="Times New Roman" w:cs="Times New Roman"/>
          <w:sz w:val="28"/>
          <w:szCs w:val="28"/>
          <w:lang w:val="uk-UA"/>
        </w:rPr>
        <w:t>р</w:t>
      </w:r>
      <w:r w:rsidR="00375775" w:rsidRPr="00B06325">
        <w:rPr>
          <w:rFonts w:ascii="Times New Roman" w:hAnsi="Times New Roman" w:cs="Times New Roman"/>
          <w:sz w:val="28"/>
          <w:szCs w:val="28"/>
          <w:lang w:val="uk-UA"/>
        </w:rPr>
        <w:t>озділ</w:t>
      </w:r>
      <w:r w:rsidR="00375775">
        <w:rPr>
          <w:rFonts w:ascii="Times New Roman" w:hAnsi="Times New Roman" w:cs="Times New Roman"/>
          <w:sz w:val="28"/>
          <w:szCs w:val="28"/>
          <w:lang w:val="uk-UA"/>
        </w:rPr>
        <w:t>у</w:t>
      </w:r>
      <w:r w:rsidR="00375775" w:rsidRPr="00B06325">
        <w:rPr>
          <w:rFonts w:ascii="Times New Roman" w:hAnsi="Times New Roman" w:cs="Times New Roman"/>
          <w:sz w:val="28"/>
          <w:szCs w:val="28"/>
          <w:lang w:val="uk-UA"/>
        </w:rPr>
        <w:t xml:space="preserve"> «Департамент житлово-комунального господарства</w:t>
      </w:r>
      <w:r w:rsidR="00375775">
        <w:rPr>
          <w:rFonts w:ascii="Times New Roman" w:hAnsi="Times New Roman" w:cs="Times New Roman"/>
          <w:sz w:val="28"/>
          <w:szCs w:val="28"/>
          <w:lang w:val="uk-UA"/>
        </w:rPr>
        <w:t xml:space="preserve"> </w:t>
      </w:r>
      <w:r w:rsidR="00375775" w:rsidRPr="00B06325">
        <w:rPr>
          <w:rFonts w:ascii="Times New Roman" w:hAnsi="Times New Roman" w:cs="Times New Roman"/>
          <w:sz w:val="28"/>
          <w:szCs w:val="28"/>
          <w:lang w:val="uk-UA"/>
        </w:rPr>
        <w:t xml:space="preserve">Миколаївської міської ради» </w:t>
      </w:r>
      <w:r>
        <w:rPr>
          <w:rFonts w:ascii="Times New Roman" w:hAnsi="Times New Roman" w:cs="Times New Roman"/>
          <w:sz w:val="28"/>
          <w:szCs w:val="28"/>
          <w:lang w:val="uk-UA"/>
        </w:rPr>
        <w:t xml:space="preserve">«Перелік пропозицій щодо інвестиційних </w:t>
      </w:r>
      <w:proofErr w:type="spellStart"/>
      <w:r>
        <w:rPr>
          <w:rFonts w:ascii="Times New Roman" w:hAnsi="Times New Roman" w:cs="Times New Roman"/>
          <w:sz w:val="28"/>
          <w:szCs w:val="28"/>
          <w:lang w:val="uk-UA"/>
        </w:rPr>
        <w:t>пр</w:t>
      </w:r>
      <w:r w:rsidR="00375775">
        <w:rPr>
          <w:rFonts w:ascii="Times New Roman" w:hAnsi="Times New Roman" w:cs="Times New Roman"/>
          <w:sz w:val="28"/>
          <w:szCs w:val="28"/>
          <w:lang w:val="uk-UA"/>
        </w:rPr>
        <w:t>оєктів</w:t>
      </w:r>
      <w:proofErr w:type="spellEnd"/>
      <w:r w:rsidR="00375775">
        <w:rPr>
          <w:rFonts w:ascii="Times New Roman" w:hAnsi="Times New Roman" w:cs="Times New Roman"/>
          <w:sz w:val="28"/>
          <w:szCs w:val="28"/>
          <w:lang w:val="uk-UA"/>
        </w:rPr>
        <w:t xml:space="preserve"> (об’єктів)</w:t>
      </w:r>
      <w:r w:rsidR="00375775" w:rsidRPr="00B06325">
        <w:rPr>
          <w:rFonts w:ascii="Times New Roman" w:hAnsi="Times New Roman" w:cs="Times New Roman"/>
          <w:sz w:val="28"/>
          <w:szCs w:val="28"/>
          <w:lang w:val="uk-UA"/>
        </w:rPr>
        <w:t xml:space="preserve"> Програми</w:t>
      </w:r>
      <w:r w:rsidR="00375775">
        <w:rPr>
          <w:rFonts w:ascii="Times New Roman" w:hAnsi="Times New Roman" w:cs="Times New Roman"/>
          <w:sz w:val="28"/>
          <w:szCs w:val="28"/>
          <w:lang w:val="uk-UA"/>
        </w:rPr>
        <w:t>,</w:t>
      </w:r>
      <w:r w:rsidR="00375775" w:rsidRPr="00B063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які планується фінансувати у 2022-2024 роках за кошти міського бюджету, а саме внесені додаткові </w:t>
      </w:r>
      <w:proofErr w:type="spellStart"/>
      <w:r>
        <w:rPr>
          <w:rFonts w:ascii="Times New Roman" w:hAnsi="Times New Roman" w:cs="Times New Roman"/>
          <w:sz w:val="28"/>
          <w:szCs w:val="28"/>
          <w:lang w:val="uk-UA"/>
        </w:rPr>
        <w:t>проєкти</w:t>
      </w:r>
      <w:proofErr w:type="spellEnd"/>
      <w:r>
        <w:rPr>
          <w:rFonts w:ascii="Times New Roman" w:hAnsi="Times New Roman" w:cs="Times New Roman"/>
          <w:sz w:val="28"/>
          <w:szCs w:val="28"/>
          <w:lang w:val="uk-UA"/>
        </w:rPr>
        <w:t xml:space="preserve"> (об’єкти).</w:t>
      </w:r>
    </w:p>
    <w:p w:rsidR="005537AA" w:rsidRDefault="005537AA" w:rsidP="009044B3">
      <w:pPr>
        <w:pStyle w:val="a3"/>
        <w:shd w:val="clear" w:color="auto" w:fill="FFFFFF"/>
        <w:spacing w:before="0" w:beforeAutospacing="0"/>
        <w:ind w:firstLine="567"/>
        <w:jc w:val="both"/>
        <w:rPr>
          <w:rStyle w:val="a4"/>
          <w:color w:val="212529"/>
          <w:sz w:val="28"/>
          <w:szCs w:val="28"/>
          <w:lang w:val="uk-UA"/>
        </w:rPr>
      </w:pPr>
    </w:p>
    <w:p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r w:rsidR="00375775">
        <w:rPr>
          <w:rStyle w:val="a4"/>
          <w:color w:val="212529"/>
          <w:sz w:val="28"/>
          <w:szCs w:val="28"/>
          <w:lang w:val="uk-UA"/>
        </w:rPr>
        <w:t>.</w:t>
      </w:r>
    </w:p>
    <w:p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rsidR="007F2081" w:rsidRDefault="00B06F92"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Даний документ державного планування (доповнення до Програми) не передбачає реалізацію видів діяльності або </w:t>
      </w:r>
      <w:r w:rsidR="00375775">
        <w:rPr>
          <w:color w:val="212529"/>
          <w:sz w:val="28"/>
          <w:szCs w:val="28"/>
          <w:lang w:val="uk-UA"/>
        </w:rPr>
        <w:t>об’єктів</w:t>
      </w:r>
      <w:r w:rsidR="0097108A">
        <w:rPr>
          <w:color w:val="212529"/>
          <w:sz w:val="28"/>
          <w:szCs w:val="28"/>
          <w:lang w:val="uk-UA"/>
        </w:rPr>
        <w:t>, щодо яких законодавством передбачено здійснення процедури оцінки впливу на довкілля.</w:t>
      </w:r>
    </w:p>
    <w:p w:rsidR="00375775" w:rsidRDefault="00375775" w:rsidP="007F2081">
      <w:pPr>
        <w:pStyle w:val="a3"/>
        <w:shd w:val="clear" w:color="auto" w:fill="FFFFFF"/>
        <w:spacing w:before="0" w:beforeAutospacing="0" w:after="0" w:afterAutospacing="0"/>
        <w:ind w:firstLine="567"/>
        <w:jc w:val="both"/>
        <w:rPr>
          <w:color w:val="212529"/>
          <w:sz w:val="28"/>
          <w:szCs w:val="28"/>
          <w:lang w:val="uk-UA"/>
        </w:rPr>
      </w:pPr>
    </w:p>
    <w:tbl>
      <w:tblPr>
        <w:tblStyle w:val="aa"/>
        <w:tblW w:w="0" w:type="auto"/>
        <w:tblLook w:val="04A0" w:firstRow="1" w:lastRow="0" w:firstColumn="1" w:lastColumn="0" w:noHBand="0" w:noVBand="1"/>
      </w:tblPr>
      <w:tblGrid>
        <w:gridCol w:w="6799"/>
        <w:gridCol w:w="1276"/>
        <w:gridCol w:w="1270"/>
      </w:tblGrid>
      <w:tr w:rsidR="0097108A" w:rsidTr="00745BB0">
        <w:tc>
          <w:tcPr>
            <w:tcW w:w="6799" w:type="dxa"/>
          </w:tcPr>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змін передбачатиме  реалізацію нової (додаткової) діяльності, не передбаченої у документі державного планування, щодо якої законодавством передбачено здійснення процедури оцінки впливу на довкілля</w:t>
            </w:r>
          </w:p>
        </w:tc>
        <w:tc>
          <w:tcPr>
            <w:tcW w:w="1276"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rsidTr="00745BB0">
        <w:tc>
          <w:tcPr>
            <w:tcW w:w="6799" w:type="dxa"/>
          </w:tcPr>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Виконання доповнень передбачатиме зміни у реалізації визначеної у документі державного планування діяльності, щодо якої законодавством передбачено здійснення процедури оцінки впливу на довкілля;</w:t>
            </w:r>
          </w:p>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характеристики та розміру (масштабів) здійснення діяльності:</w:t>
            </w:r>
          </w:p>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місця провадження (розташування);</w:t>
            </w:r>
          </w:p>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умов здійснення діяльності;</w:t>
            </w:r>
          </w:p>
          <w:p w:rsidR="0097108A" w:rsidRDefault="0097108A" w:rsidP="007F2081">
            <w:pPr>
              <w:pStyle w:val="a3"/>
              <w:spacing w:before="0" w:beforeAutospacing="0" w:after="0" w:afterAutospacing="0"/>
              <w:jc w:val="both"/>
              <w:rPr>
                <w:color w:val="212529"/>
                <w:sz w:val="28"/>
                <w:szCs w:val="28"/>
                <w:lang w:val="uk-UA"/>
              </w:rPr>
            </w:pPr>
            <w:r>
              <w:rPr>
                <w:color w:val="212529"/>
                <w:sz w:val="28"/>
                <w:szCs w:val="28"/>
                <w:lang w:val="uk-UA"/>
              </w:rPr>
              <w:t>виділених природних та \або матеріальних ресурсів</w:t>
            </w:r>
          </w:p>
        </w:tc>
        <w:tc>
          <w:tcPr>
            <w:tcW w:w="1276"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w:t>
            </w:r>
          </w:p>
        </w:tc>
      </w:tr>
      <w:tr w:rsidR="0097108A" w:rsidTr="00745BB0">
        <w:tc>
          <w:tcPr>
            <w:tcW w:w="6799"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lastRenderedPageBreak/>
              <w:t>Виконання доповнень</w:t>
            </w:r>
            <w:r w:rsidR="0097108A">
              <w:rPr>
                <w:color w:val="212529"/>
                <w:sz w:val="28"/>
                <w:szCs w:val="28"/>
                <w:lang w:val="uk-UA"/>
              </w:rPr>
              <w:t xml:space="preserve"> передбачатиме зміни у реалізації визначеної у документі державного планування діяльності яка</w:t>
            </w:r>
            <w:r>
              <w:rPr>
                <w:color w:val="212529"/>
                <w:sz w:val="28"/>
                <w:szCs w:val="28"/>
                <w:lang w:val="uk-UA"/>
              </w:rPr>
              <w:t xml:space="preserve"> не підлягала оцінці впливу на довкілля та яка внаслідок таких змін вимагатиме здійснення оцінки впливу на довкілля.</w:t>
            </w:r>
          </w:p>
        </w:tc>
        <w:tc>
          <w:tcPr>
            <w:tcW w:w="1276" w:type="dxa"/>
          </w:tcPr>
          <w:p w:rsidR="0097108A" w:rsidRDefault="00745BB0" w:rsidP="007F2081">
            <w:pPr>
              <w:pStyle w:val="a3"/>
              <w:spacing w:before="0" w:beforeAutospacing="0" w:after="0" w:afterAutospacing="0"/>
              <w:jc w:val="both"/>
              <w:rPr>
                <w:color w:val="212529"/>
                <w:sz w:val="28"/>
                <w:szCs w:val="28"/>
                <w:lang w:val="uk-UA"/>
              </w:rPr>
            </w:pPr>
            <w:r>
              <w:rPr>
                <w:color w:val="212529"/>
                <w:sz w:val="28"/>
                <w:szCs w:val="28"/>
                <w:lang w:val="uk-UA"/>
              </w:rPr>
              <w:t>ні</w:t>
            </w:r>
          </w:p>
        </w:tc>
        <w:tc>
          <w:tcPr>
            <w:tcW w:w="1270" w:type="dxa"/>
          </w:tcPr>
          <w:p w:rsidR="0097108A" w:rsidRDefault="00375775" w:rsidP="007F2081">
            <w:pPr>
              <w:pStyle w:val="a3"/>
              <w:spacing w:before="0" w:beforeAutospacing="0" w:after="0" w:afterAutospacing="0"/>
              <w:jc w:val="both"/>
              <w:rPr>
                <w:color w:val="212529"/>
                <w:sz w:val="28"/>
                <w:szCs w:val="28"/>
                <w:lang w:val="uk-UA"/>
              </w:rPr>
            </w:pPr>
            <w:r>
              <w:rPr>
                <w:color w:val="212529"/>
                <w:sz w:val="28"/>
                <w:szCs w:val="28"/>
                <w:lang w:val="uk-UA"/>
              </w:rPr>
              <w:t>-</w:t>
            </w:r>
          </w:p>
        </w:tc>
      </w:tr>
    </w:tbl>
    <w:p w:rsidR="0097108A" w:rsidRPr="007F2081" w:rsidRDefault="0097108A" w:rsidP="007F2081">
      <w:pPr>
        <w:pStyle w:val="a3"/>
        <w:shd w:val="clear" w:color="auto" w:fill="FFFFFF"/>
        <w:spacing w:before="0" w:beforeAutospacing="0" w:after="0" w:afterAutospacing="0"/>
        <w:ind w:firstLine="567"/>
        <w:jc w:val="both"/>
        <w:rPr>
          <w:color w:val="212529"/>
          <w:sz w:val="28"/>
          <w:szCs w:val="28"/>
          <w:lang w:val="uk-UA"/>
        </w:rPr>
      </w:pPr>
    </w:p>
    <w:p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rsidR="00D3517D" w:rsidRPr="001D3A95" w:rsidRDefault="00D3517D" w:rsidP="000D04E9">
      <w:pPr>
        <w:pStyle w:val="a3"/>
        <w:shd w:val="clear" w:color="auto" w:fill="FFFFFF"/>
        <w:spacing w:before="0" w:beforeAutospacing="0" w:after="0" w:afterAutospacing="0"/>
        <w:ind w:firstLine="567"/>
        <w:jc w:val="both"/>
        <w:rPr>
          <w:b/>
          <w:i/>
          <w:sz w:val="28"/>
          <w:szCs w:val="28"/>
          <w:lang w:val="uk-UA"/>
        </w:rPr>
      </w:pPr>
      <w:r w:rsidRPr="001D3A95">
        <w:rPr>
          <w:rStyle w:val="a5"/>
          <w:b/>
          <w:i w:val="0"/>
          <w:sz w:val="28"/>
          <w:szCs w:val="28"/>
          <w:lang w:val="uk-UA"/>
        </w:rPr>
        <w:t xml:space="preserve"> </w:t>
      </w:r>
      <w:r w:rsidR="001D3A95" w:rsidRPr="001D3A95">
        <w:rPr>
          <w:rStyle w:val="a5"/>
          <w:b/>
          <w:i w:val="0"/>
          <w:sz w:val="28"/>
          <w:szCs w:val="28"/>
          <w:lang w:val="uk-UA"/>
        </w:rPr>
        <w:t xml:space="preserve">а) </w:t>
      </w:r>
      <w:r w:rsidRPr="001D3A95">
        <w:rPr>
          <w:rStyle w:val="a5"/>
          <w:b/>
          <w:i w:val="0"/>
          <w:sz w:val="28"/>
          <w:szCs w:val="28"/>
          <w:lang w:val="uk-UA"/>
        </w:rPr>
        <w:t>для довкілля, у тому числі для здоров’я населення:</w:t>
      </w:r>
    </w:p>
    <w:p w:rsidR="00D3517D" w:rsidRPr="00770EC5" w:rsidRDefault="001D3A95" w:rsidP="000D04E9">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таких складових довкілля:</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proofErr w:type="spellStart"/>
      <w:r w:rsidRPr="00770EC5">
        <w:rPr>
          <w:sz w:val="28"/>
          <w:szCs w:val="28"/>
          <w:lang w:val="uk-UA"/>
        </w:rPr>
        <w:t>-ландшафт</w:t>
      </w:r>
      <w:proofErr w:type="spellEnd"/>
      <w:r w:rsidRPr="00770EC5">
        <w:rPr>
          <w:sz w:val="28"/>
          <w:szCs w:val="28"/>
          <w:lang w:val="uk-UA"/>
        </w:rPr>
        <w:t xml:space="preserve">, </w:t>
      </w:r>
      <w:proofErr w:type="spellStart"/>
      <w:r w:rsidR="00D3517D" w:rsidRPr="00770EC5">
        <w:rPr>
          <w:sz w:val="28"/>
          <w:szCs w:val="28"/>
          <w:lang w:val="uk-UA"/>
        </w:rPr>
        <w:t>біорізноманіття</w:t>
      </w:r>
      <w:proofErr w:type="spellEnd"/>
      <w:r w:rsidR="00D3517D" w:rsidRPr="00770EC5">
        <w:rPr>
          <w:sz w:val="28"/>
          <w:szCs w:val="28"/>
          <w:lang w:val="uk-UA"/>
        </w:rPr>
        <w:t xml:space="preserve"> та рекреаційні зони;</w:t>
      </w:r>
    </w:p>
    <w:p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б) для територій з природоохоронним статусом:</w:t>
      </w:r>
    </w:p>
    <w:p w:rsidR="001D3A95" w:rsidRPr="00770EC5" w:rsidRDefault="001D3A95" w:rsidP="001D3A95">
      <w:pPr>
        <w:pStyle w:val="a3"/>
        <w:shd w:val="clear" w:color="auto" w:fill="FFFFFF"/>
        <w:spacing w:before="0" w:beforeAutospacing="0" w:after="0" w:afterAutospacing="0"/>
        <w:ind w:firstLine="567"/>
        <w:jc w:val="both"/>
        <w:rPr>
          <w:sz w:val="28"/>
          <w:szCs w:val="28"/>
          <w:lang w:val="uk-UA"/>
        </w:rPr>
      </w:pPr>
      <w:r>
        <w:rPr>
          <w:sz w:val="28"/>
          <w:szCs w:val="28"/>
          <w:lang w:val="uk-UA"/>
        </w:rPr>
        <w:t>Реалізація запропонованих доповнень до Програми не несе ймовірних наслідків для територій з природоохоронним статусом.</w:t>
      </w:r>
    </w:p>
    <w:p w:rsidR="00D3517D" w:rsidRPr="001474E4" w:rsidRDefault="00D3517D" w:rsidP="000D04E9">
      <w:pPr>
        <w:pStyle w:val="a3"/>
        <w:shd w:val="clear" w:color="auto" w:fill="FFFFFF"/>
        <w:spacing w:before="0" w:beforeAutospacing="0" w:after="0" w:afterAutospacing="0"/>
        <w:ind w:firstLine="567"/>
        <w:jc w:val="both"/>
        <w:rPr>
          <w:b/>
          <w:i/>
          <w:sz w:val="28"/>
          <w:szCs w:val="28"/>
          <w:lang w:val="uk-UA"/>
        </w:rPr>
      </w:pPr>
      <w:r w:rsidRPr="001474E4">
        <w:rPr>
          <w:rStyle w:val="a5"/>
          <w:b/>
          <w:i w:val="0"/>
          <w:sz w:val="28"/>
          <w:szCs w:val="28"/>
          <w:lang w:val="uk-UA"/>
        </w:rPr>
        <w:t>в) транскордонні наслідки для довкілля, у тому числі для здоров’я населення:</w:t>
      </w:r>
    </w:p>
    <w:p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Зважаючи комплексність рішень </w:t>
      </w:r>
      <w:proofErr w:type="spellStart"/>
      <w:r w:rsidRPr="00770EC5">
        <w:rPr>
          <w:sz w:val="28"/>
          <w:szCs w:val="28"/>
          <w:lang w:val="uk-UA"/>
        </w:rPr>
        <w:t>проєкту</w:t>
      </w:r>
      <w:proofErr w:type="spellEnd"/>
      <w:r w:rsidRPr="00770EC5">
        <w:rPr>
          <w:sz w:val="28"/>
          <w:szCs w:val="28"/>
          <w:lang w:val="uk-UA"/>
        </w:rPr>
        <w:t xml:space="preserve">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rsidR="00D3517D" w:rsidRPr="00770EC5" w:rsidRDefault="001474E4" w:rsidP="00CD19EA">
      <w:pPr>
        <w:pStyle w:val="a3"/>
        <w:shd w:val="clear" w:color="auto" w:fill="FFFFFF"/>
        <w:spacing w:before="0" w:beforeAutospacing="0" w:after="0" w:afterAutospacing="0"/>
        <w:ind w:firstLine="567"/>
        <w:jc w:val="both"/>
        <w:rPr>
          <w:sz w:val="28"/>
          <w:szCs w:val="28"/>
          <w:lang w:val="uk-UA"/>
        </w:rPr>
      </w:pPr>
      <w:r>
        <w:rPr>
          <w:sz w:val="28"/>
          <w:szCs w:val="28"/>
          <w:lang w:val="uk-UA"/>
        </w:rPr>
        <w:t>Загальною альтернативою є гіпотетичний (нульовий) сценарій</w:t>
      </w:r>
      <w:r w:rsidR="00050039">
        <w:rPr>
          <w:sz w:val="28"/>
          <w:szCs w:val="28"/>
          <w:lang w:val="uk-UA"/>
        </w:rPr>
        <w:t>, при якому дані доповнення до Програми не затверджуються.</w:t>
      </w:r>
    </w:p>
    <w:p w:rsidR="00C53755" w:rsidRPr="00375775" w:rsidRDefault="00C53755" w:rsidP="00CD19EA">
      <w:pPr>
        <w:pStyle w:val="a3"/>
        <w:shd w:val="clear" w:color="auto" w:fill="FFFFFF"/>
        <w:spacing w:before="0" w:beforeAutospacing="0" w:after="0" w:afterAutospacing="0"/>
        <w:ind w:firstLine="567"/>
        <w:jc w:val="both"/>
        <w:rPr>
          <w:color w:val="212529"/>
          <w:sz w:val="28"/>
          <w:szCs w:val="28"/>
        </w:rPr>
      </w:pPr>
    </w:p>
    <w:p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rsidR="00053F57" w:rsidRPr="005E2E4D" w:rsidRDefault="00050039" w:rsidP="00053F57">
      <w:pPr>
        <w:pStyle w:val="Default"/>
        <w:ind w:firstLine="567"/>
        <w:jc w:val="both"/>
        <w:rPr>
          <w:i/>
          <w:color w:val="auto"/>
          <w:sz w:val="28"/>
          <w:szCs w:val="28"/>
          <w:lang w:val="uk-UA"/>
        </w:rPr>
      </w:pPr>
      <w:r w:rsidRPr="005E2E4D">
        <w:rPr>
          <w:i/>
          <w:color w:val="auto"/>
          <w:sz w:val="28"/>
          <w:szCs w:val="28"/>
          <w:lang w:val="uk-UA"/>
        </w:rPr>
        <w:t xml:space="preserve">Предметом стратегічної екологічної оцінки є доповнення до Програми та їх потенційний вплив на стан довкілля та здоров’я населення </w:t>
      </w:r>
    </w:p>
    <w:p w:rsidR="00050039" w:rsidRPr="005E2E4D" w:rsidRDefault="00050039" w:rsidP="00053F57">
      <w:pPr>
        <w:pStyle w:val="Default"/>
        <w:ind w:firstLine="567"/>
        <w:jc w:val="both"/>
        <w:rPr>
          <w:i/>
          <w:color w:val="auto"/>
          <w:sz w:val="28"/>
          <w:szCs w:val="28"/>
          <w:lang w:val="uk-UA"/>
        </w:rPr>
      </w:pPr>
      <w:r w:rsidRPr="005E2E4D">
        <w:rPr>
          <w:i/>
          <w:color w:val="auto"/>
          <w:sz w:val="28"/>
          <w:szCs w:val="28"/>
          <w:lang w:val="uk-UA"/>
        </w:rPr>
        <w:t>Запропоновані доповнення до Програми є незначними і не несуть ймовірних наслідків для стану довкілля та здоров’я населення.</w:t>
      </w:r>
    </w:p>
    <w:p w:rsidR="00050039" w:rsidRPr="00050039" w:rsidRDefault="00050039" w:rsidP="00053F57">
      <w:pPr>
        <w:pStyle w:val="Default"/>
        <w:ind w:firstLine="567"/>
        <w:jc w:val="both"/>
        <w:rPr>
          <w:color w:val="FF0000"/>
          <w:sz w:val="28"/>
          <w:szCs w:val="28"/>
          <w:lang w:val="uk-UA"/>
        </w:rPr>
      </w:pPr>
    </w:p>
    <w:p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lastRenderedPageBreak/>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D3517D"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Необхідність перегляду або внесен</w:t>
      </w:r>
      <w:r w:rsidR="003A39D3">
        <w:rPr>
          <w:i/>
          <w:color w:val="212529"/>
          <w:sz w:val="28"/>
          <w:szCs w:val="28"/>
          <w:lang w:val="uk-UA"/>
        </w:rPr>
        <w:t>ня змін та доповнень</w:t>
      </w:r>
      <w:r>
        <w:rPr>
          <w:i/>
          <w:color w:val="212529"/>
          <w:sz w:val="28"/>
          <w:szCs w:val="28"/>
          <w:lang w:val="uk-UA"/>
        </w:rPr>
        <w:t xml:space="preserve"> до затверджених заходів:</w:t>
      </w:r>
    </w:p>
    <w:p w:rsidR="00050039" w:rsidRDefault="00050039" w:rsidP="00053F57">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rsidR="00050039" w:rsidRDefault="00050039" w:rsidP="00050039">
      <w:pPr>
        <w:pStyle w:val="a3"/>
        <w:shd w:val="clear" w:color="auto" w:fill="FFFFFF"/>
        <w:tabs>
          <w:tab w:val="left" w:pos="2070"/>
        </w:tabs>
        <w:spacing w:before="0" w:beforeAutospacing="0" w:after="0" w:afterAutospacing="0"/>
        <w:ind w:firstLine="567"/>
        <w:jc w:val="both"/>
        <w:rPr>
          <w:b/>
          <w:color w:val="212529"/>
          <w:sz w:val="28"/>
          <w:szCs w:val="28"/>
          <w:lang w:val="uk-UA"/>
        </w:rPr>
      </w:pPr>
      <w:r>
        <w:rPr>
          <w:b/>
          <w:color w:val="212529"/>
          <w:sz w:val="28"/>
          <w:szCs w:val="28"/>
          <w:lang w:val="uk-UA"/>
        </w:rPr>
        <w:tab/>
      </w:r>
    </w:p>
    <w:p w:rsidR="00050039" w:rsidRDefault="00050039" w:rsidP="00053F57">
      <w:pPr>
        <w:pStyle w:val="a3"/>
        <w:shd w:val="clear" w:color="auto" w:fill="FFFFFF"/>
        <w:spacing w:before="0" w:beforeAutospacing="0" w:after="0" w:afterAutospacing="0"/>
        <w:ind w:firstLine="567"/>
        <w:jc w:val="both"/>
        <w:rPr>
          <w:i/>
          <w:color w:val="212529"/>
          <w:sz w:val="28"/>
          <w:szCs w:val="28"/>
          <w:lang w:val="uk-UA"/>
        </w:rPr>
      </w:pPr>
      <w:r w:rsidRPr="00050039">
        <w:rPr>
          <w:i/>
          <w:color w:val="212529"/>
          <w:sz w:val="28"/>
          <w:szCs w:val="28"/>
          <w:lang w:val="uk-UA"/>
        </w:rPr>
        <w:t xml:space="preserve">Необхідність перегляду або внесення змін </w:t>
      </w:r>
      <w:r w:rsidR="003A39D3">
        <w:rPr>
          <w:i/>
          <w:color w:val="212529"/>
          <w:sz w:val="28"/>
          <w:szCs w:val="28"/>
          <w:lang w:val="uk-UA"/>
        </w:rPr>
        <w:t xml:space="preserve">та доповнень </w:t>
      </w:r>
      <w:r w:rsidRPr="00050039">
        <w:rPr>
          <w:i/>
          <w:color w:val="212529"/>
          <w:sz w:val="28"/>
          <w:szCs w:val="28"/>
          <w:lang w:val="uk-UA"/>
        </w:rPr>
        <w:t xml:space="preserve">до заходів, передбачених для здійснення моніторингу наслідків виконання документа державного планування для довкілля, у тому числі здоров’я населення: </w:t>
      </w:r>
    </w:p>
    <w:p w:rsidR="00050039" w:rsidRDefault="00050039" w:rsidP="00050039">
      <w:pPr>
        <w:pStyle w:val="a3"/>
        <w:shd w:val="clear" w:color="auto" w:fill="FFFFFF"/>
        <w:spacing w:before="0" w:beforeAutospacing="0" w:after="0" w:afterAutospacing="0"/>
        <w:ind w:firstLine="567"/>
        <w:jc w:val="both"/>
        <w:rPr>
          <w:b/>
          <w:color w:val="212529"/>
          <w:sz w:val="28"/>
          <w:szCs w:val="28"/>
          <w:lang w:val="uk-UA"/>
        </w:rPr>
      </w:pPr>
      <w:r w:rsidRPr="00050039">
        <w:rPr>
          <w:b/>
          <w:color w:val="212529"/>
          <w:sz w:val="28"/>
          <w:szCs w:val="28"/>
          <w:lang w:val="uk-UA"/>
        </w:rPr>
        <w:t>Не передбачається</w:t>
      </w:r>
    </w:p>
    <w:p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rsidR="00D3517D"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rsidR="00050039" w:rsidRPr="00770EC5" w:rsidRDefault="00050039" w:rsidP="00053F57">
      <w:pPr>
        <w:pStyle w:val="a3"/>
        <w:shd w:val="clear" w:color="auto" w:fill="FFFFFF"/>
        <w:spacing w:before="0" w:beforeAutospacing="0"/>
        <w:ind w:firstLine="567"/>
        <w:jc w:val="both"/>
        <w:rPr>
          <w:sz w:val="28"/>
          <w:szCs w:val="28"/>
          <w:lang w:val="uk-UA"/>
        </w:rPr>
      </w:pPr>
      <w:r>
        <w:rPr>
          <w:sz w:val="28"/>
          <w:szCs w:val="28"/>
          <w:lang w:val="uk-UA"/>
        </w:rPr>
        <w:t>Враховуючи, що</w:t>
      </w:r>
      <w:r w:rsidR="00566C2F">
        <w:rPr>
          <w:sz w:val="28"/>
          <w:szCs w:val="28"/>
          <w:lang w:val="uk-UA"/>
        </w:rPr>
        <w:t xml:space="preserve"> дані доповнення</w:t>
      </w:r>
      <w:r>
        <w:rPr>
          <w:sz w:val="28"/>
          <w:szCs w:val="28"/>
          <w:lang w:val="uk-UA"/>
        </w:rPr>
        <w:t xml:space="preserve"> до П</w:t>
      </w:r>
      <w:r w:rsidR="00566C2F">
        <w:rPr>
          <w:sz w:val="28"/>
          <w:szCs w:val="28"/>
          <w:lang w:val="uk-UA"/>
        </w:rPr>
        <w:t>рограми, щодо якої раніше здійснювалася стратегічна екологічна оцінка, є незначними пропонується не здійснювати стратегічну екологічну оцінку до зазначених доповнень до Програми.</w:t>
      </w:r>
    </w:p>
    <w:p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СЕО</w:t>
      </w:r>
      <w:r w:rsidR="00375775">
        <w:rPr>
          <w:color w:val="212529"/>
          <w:sz w:val="28"/>
          <w:szCs w:val="28"/>
          <w:lang w:val="uk-UA"/>
        </w:rPr>
        <w:t xml:space="preserve"> Доповнень до</w:t>
      </w:r>
      <w:r w:rsidR="00053F57">
        <w:rPr>
          <w:color w:val="212529"/>
          <w:sz w:val="28"/>
          <w:szCs w:val="28"/>
          <w:lang w:val="uk-UA"/>
        </w:rPr>
        <w:t xml:space="preserve">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r w:rsidR="00EF633B">
        <w:rPr>
          <w:color w:val="212529"/>
          <w:sz w:val="28"/>
          <w:szCs w:val="28"/>
          <w:lang w:val="uk-UA"/>
        </w:rPr>
        <w:t>Шевченко Діна Олександрівна</w:t>
      </w:r>
      <w:r w:rsidR="00CA4FE5">
        <w:rPr>
          <w:color w:val="212529"/>
          <w:sz w:val="28"/>
          <w:szCs w:val="28"/>
          <w:lang w:val="uk-UA"/>
        </w:rPr>
        <w:t xml:space="preserve"> –</w:t>
      </w:r>
      <w:r w:rsidR="00EF633B">
        <w:rPr>
          <w:color w:val="212529"/>
          <w:sz w:val="28"/>
          <w:szCs w:val="28"/>
          <w:lang w:val="uk-UA"/>
        </w:rPr>
        <w:t xml:space="preserve"> заступник директора департаменту економічного розвитку Миколаївської міської ради – начальник управління економіки та інвестицій  </w:t>
      </w:r>
      <w:r w:rsidR="00CA4FE5">
        <w:rPr>
          <w:color w:val="212529"/>
          <w:sz w:val="28"/>
          <w:szCs w:val="28"/>
          <w:lang w:val="uk-UA"/>
        </w:rPr>
        <w:t xml:space="preserve"> </w:t>
      </w:r>
    </w:p>
    <w:p w:rsidR="00031A6A"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 xml:space="preserve">Зауваження і пропозиції надавати протягом 15 днів з  </w:t>
      </w:r>
      <w:r w:rsidR="00EF633B">
        <w:rPr>
          <w:rFonts w:ascii="Times New Roman" w:hAnsi="Times New Roman" w:cs="Times New Roman"/>
          <w:sz w:val="28"/>
          <w:szCs w:val="28"/>
          <w:lang w:val="uk-UA"/>
        </w:rPr>
        <w:t>08 листопада 2022 року по 22</w:t>
      </w:r>
      <w:r w:rsidRPr="00FA2C39">
        <w:rPr>
          <w:rFonts w:ascii="Times New Roman" w:hAnsi="Times New Roman" w:cs="Times New Roman"/>
          <w:sz w:val="28"/>
          <w:szCs w:val="28"/>
          <w:lang w:val="uk-UA"/>
        </w:rPr>
        <w:t xml:space="preserve"> </w:t>
      </w:r>
      <w:r w:rsidR="00EF633B">
        <w:rPr>
          <w:rFonts w:ascii="Times New Roman" w:hAnsi="Times New Roman" w:cs="Times New Roman"/>
          <w:sz w:val="28"/>
          <w:szCs w:val="28"/>
          <w:lang w:val="uk-UA"/>
        </w:rPr>
        <w:t>листопада</w:t>
      </w:r>
      <w:r w:rsidRPr="00FA2C39">
        <w:rPr>
          <w:rFonts w:ascii="Times New Roman" w:hAnsi="Times New Roman" w:cs="Times New Roman"/>
          <w:sz w:val="28"/>
          <w:szCs w:val="28"/>
          <w:lang w:val="uk-UA"/>
        </w:rPr>
        <w:t xml:space="preserve"> 202</w:t>
      </w:r>
      <w:r w:rsidR="00EF633B">
        <w:rPr>
          <w:rFonts w:ascii="Times New Roman" w:hAnsi="Times New Roman" w:cs="Times New Roman"/>
          <w:sz w:val="28"/>
          <w:szCs w:val="28"/>
          <w:lang w:val="uk-UA"/>
        </w:rPr>
        <w:t>2</w:t>
      </w:r>
      <w:r w:rsidRPr="00FA2C39">
        <w:rPr>
          <w:rFonts w:ascii="Times New Roman" w:hAnsi="Times New Roman" w:cs="Times New Roman"/>
          <w:sz w:val="28"/>
          <w:szCs w:val="28"/>
          <w:lang w:val="uk-UA"/>
        </w:rPr>
        <w:t xml:space="preserve"> року включно  у письмовому виді до департаменту економічного розвитку миколаївської міської ради на поштову адресу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 xml:space="preserve"> .</w:t>
      </w:r>
    </w:p>
    <w:p w:rsidR="00EF633B" w:rsidRDefault="00EF633B" w:rsidP="00EF633B">
      <w:pPr>
        <w:jc w:val="both"/>
        <w:rPr>
          <w:rFonts w:ascii="Times New Roman" w:hAnsi="Times New Roman" w:cs="Times New Roman"/>
          <w:sz w:val="28"/>
          <w:szCs w:val="28"/>
          <w:lang w:val="uk-UA"/>
        </w:rPr>
      </w:pPr>
    </w:p>
    <w:p w:rsidR="00375775" w:rsidRDefault="00375775" w:rsidP="00EF633B">
      <w:pPr>
        <w:jc w:val="both"/>
        <w:rPr>
          <w:rFonts w:ascii="Times New Roman" w:hAnsi="Times New Roman" w:cs="Times New Roman"/>
          <w:sz w:val="28"/>
          <w:szCs w:val="28"/>
          <w:lang w:val="uk-UA"/>
        </w:rPr>
      </w:pPr>
    </w:p>
    <w:p w:rsidR="00EF633B" w:rsidRPr="00FA2C39" w:rsidRDefault="00EF633B" w:rsidP="00EF633B">
      <w:pPr>
        <w:jc w:val="both"/>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Віталій ЛУКОВ</w:t>
      </w:r>
    </w:p>
    <w:sectPr w:rsidR="00EF633B" w:rsidRPr="00FA2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82435"/>
    <w:multiLevelType w:val="hybridMultilevel"/>
    <w:tmpl w:val="3716C684"/>
    <w:lvl w:ilvl="0" w:tplc="242C0CB0">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7D"/>
    <w:rsid w:val="00031A6A"/>
    <w:rsid w:val="00050039"/>
    <w:rsid w:val="00053F57"/>
    <w:rsid w:val="000A3AED"/>
    <w:rsid w:val="000D04E9"/>
    <w:rsid w:val="001474E4"/>
    <w:rsid w:val="001B0241"/>
    <w:rsid w:val="001B14AD"/>
    <w:rsid w:val="001D3A95"/>
    <w:rsid w:val="002A45DC"/>
    <w:rsid w:val="00375775"/>
    <w:rsid w:val="003A39D3"/>
    <w:rsid w:val="0040691E"/>
    <w:rsid w:val="005537AA"/>
    <w:rsid w:val="00566C2F"/>
    <w:rsid w:val="005E2E4D"/>
    <w:rsid w:val="00625787"/>
    <w:rsid w:val="00717116"/>
    <w:rsid w:val="00745BB0"/>
    <w:rsid w:val="00770EC5"/>
    <w:rsid w:val="007F2081"/>
    <w:rsid w:val="009044B3"/>
    <w:rsid w:val="00904D7C"/>
    <w:rsid w:val="0097108A"/>
    <w:rsid w:val="009E6939"/>
    <w:rsid w:val="00AF021C"/>
    <w:rsid w:val="00B06325"/>
    <w:rsid w:val="00B06F92"/>
    <w:rsid w:val="00B5670F"/>
    <w:rsid w:val="00BA6712"/>
    <w:rsid w:val="00BE267F"/>
    <w:rsid w:val="00C53755"/>
    <w:rsid w:val="00C9125C"/>
    <w:rsid w:val="00CA4FE5"/>
    <w:rsid w:val="00CD19EA"/>
    <w:rsid w:val="00D3517D"/>
    <w:rsid w:val="00D36F8F"/>
    <w:rsid w:val="00EA7AAB"/>
    <w:rsid w:val="00EF633B"/>
    <w:rsid w:val="00FA2C39"/>
    <w:rsid w:val="00FC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 w:type="table" w:styleId="aa">
    <w:name w:val="Table Grid"/>
    <w:basedOn w:val="a1"/>
    <w:uiPriority w:val="39"/>
    <w:rsid w:val="0097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80/97-&#1074;&#10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user552e</dc:creator>
  <cp:lastModifiedBy>Admin</cp:lastModifiedBy>
  <cp:revision>2</cp:revision>
  <cp:lastPrinted>2020-10-29T09:34:00Z</cp:lastPrinted>
  <dcterms:created xsi:type="dcterms:W3CDTF">2022-11-08T13:11:00Z</dcterms:created>
  <dcterms:modified xsi:type="dcterms:W3CDTF">2022-11-08T13:11:00Z</dcterms:modified>
</cp:coreProperties>
</file>