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B81C" w14:textId="1859A13F" w:rsidR="00536959" w:rsidRPr="00CB20DE" w:rsidRDefault="001E1201" w:rsidP="00536959">
      <w:pPr>
        <w:spacing w:before="100" w:beforeAutospacing="1" w:after="100" w:afterAutospacing="1"/>
        <w:ind w:right="4819"/>
        <w:jc w:val="both"/>
        <w:rPr>
          <w:rFonts w:ascii="TimesNewRomanPS" w:eastAsia="Times New Roman" w:hAnsi="TimesNewRomanPS" w:cs="Times New Roman"/>
          <w:kern w:val="0"/>
          <w:sz w:val="22"/>
          <w:szCs w:val="22"/>
          <w:lang w:eastAsia="en-GB"/>
          <w14:ligatures w14:val="none"/>
        </w:rPr>
      </w:pPr>
      <w:r w:rsidRPr="00CB20DE">
        <w:rPr>
          <w:rFonts w:ascii="TimesNewRomanPS" w:eastAsia="Times New Roman" w:hAnsi="TimesNewRomanPS" w:cs="Times New Roman"/>
          <w:kern w:val="0"/>
          <w:sz w:val="22"/>
          <w:szCs w:val="22"/>
          <w:lang w:val="en-US" w:eastAsia="en-GB"/>
          <w14:ligatures w14:val="none"/>
        </w:rPr>
        <w:t>s-dj-08</w:t>
      </w:r>
      <w:r w:rsidR="002437D0" w:rsidRPr="00CB20DE">
        <w:rPr>
          <w:rFonts w:ascii="TimesNewRomanPS" w:eastAsia="Times New Roman" w:hAnsi="TimesNewRomanPS" w:cs="Times New Roman"/>
          <w:kern w:val="0"/>
          <w:sz w:val="22"/>
          <w:szCs w:val="22"/>
          <w:lang w:eastAsia="en-GB"/>
          <w14:ligatures w14:val="none"/>
        </w:rPr>
        <w:t>8</w:t>
      </w:r>
    </w:p>
    <w:p w14:paraId="77D3F000" w14:textId="058A37AB" w:rsidR="00536959" w:rsidRPr="00CB20DE" w:rsidRDefault="00536959" w:rsidP="00536959">
      <w:pPr>
        <w:spacing w:before="100" w:beforeAutospacing="1" w:after="100" w:afterAutospacing="1"/>
        <w:ind w:right="4819"/>
        <w:jc w:val="both"/>
        <w:rPr>
          <w:rFonts w:ascii="TimesNewRomanPS" w:eastAsia="Times New Roman" w:hAnsi="TimesNewRomanPS" w:cs="Times New Roman"/>
          <w:kern w:val="0"/>
          <w:sz w:val="16"/>
          <w:szCs w:val="16"/>
          <w:lang w:eastAsia="en-GB"/>
          <w14:ligatures w14:val="none"/>
        </w:rPr>
      </w:pPr>
    </w:p>
    <w:p w14:paraId="22864190" w14:textId="138DEBC2" w:rsidR="00536959" w:rsidRPr="00CB20DE" w:rsidRDefault="00536959" w:rsidP="00536959">
      <w:pPr>
        <w:spacing w:before="100" w:beforeAutospacing="1" w:after="100" w:afterAutospacing="1"/>
        <w:ind w:right="4819"/>
        <w:jc w:val="both"/>
        <w:rPr>
          <w:rFonts w:ascii="TimesNewRomanPS" w:eastAsia="Times New Roman" w:hAnsi="TimesNewRomanPS" w:cs="Times New Roman"/>
          <w:kern w:val="0"/>
          <w:sz w:val="16"/>
          <w:szCs w:val="16"/>
          <w:lang w:eastAsia="en-GB"/>
          <w14:ligatures w14:val="none"/>
        </w:rPr>
      </w:pPr>
    </w:p>
    <w:p w14:paraId="469A3F07" w14:textId="2670C94F" w:rsidR="00536959" w:rsidRPr="00CB20DE" w:rsidRDefault="00536959" w:rsidP="00536959">
      <w:pPr>
        <w:spacing w:before="100" w:beforeAutospacing="1" w:after="100" w:afterAutospacing="1"/>
        <w:ind w:right="4819"/>
        <w:jc w:val="both"/>
        <w:rPr>
          <w:rFonts w:ascii="TimesNewRomanPS" w:eastAsia="Times New Roman" w:hAnsi="TimesNewRomanPS" w:cs="Times New Roman"/>
          <w:kern w:val="0"/>
          <w:sz w:val="16"/>
          <w:szCs w:val="16"/>
          <w:lang w:eastAsia="en-GB"/>
          <w14:ligatures w14:val="none"/>
        </w:rPr>
      </w:pPr>
    </w:p>
    <w:p w14:paraId="4FE7A667" w14:textId="04E79AEF" w:rsidR="00536959" w:rsidRPr="00CB20DE" w:rsidRDefault="00536959" w:rsidP="00536959">
      <w:pPr>
        <w:spacing w:before="100" w:beforeAutospacing="1" w:after="100" w:afterAutospacing="1"/>
        <w:ind w:right="4819"/>
        <w:jc w:val="both"/>
        <w:rPr>
          <w:rFonts w:ascii="TimesNewRomanPS" w:eastAsia="Times New Roman" w:hAnsi="TimesNewRomanPS" w:cs="Times New Roman"/>
          <w:kern w:val="0"/>
          <w:sz w:val="16"/>
          <w:szCs w:val="16"/>
          <w:lang w:eastAsia="en-GB"/>
          <w14:ligatures w14:val="none"/>
        </w:rPr>
      </w:pPr>
    </w:p>
    <w:p w14:paraId="442F6A50" w14:textId="77777777" w:rsidR="00536959" w:rsidRPr="00CB20DE" w:rsidRDefault="00536959" w:rsidP="00536959">
      <w:pPr>
        <w:spacing w:before="100" w:beforeAutospacing="1" w:after="100" w:afterAutospacing="1"/>
        <w:ind w:right="4819"/>
        <w:jc w:val="both"/>
        <w:rPr>
          <w:rFonts w:ascii="TimesNewRomanPS" w:eastAsia="Times New Roman" w:hAnsi="TimesNewRomanPS" w:cs="Times New Roman"/>
          <w:kern w:val="0"/>
          <w:sz w:val="16"/>
          <w:szCs w:val="16"/>
          <w:lang w:eastAsia="en-GB"/>
          <w14:ligatures w14:val="none"/>
        </w:rPr>
      </w:pPr>
    </w:p>
    <w:p w14:paraId="7B340353" w14:textId="157071B4" w:rsidR="00536959" w:rsidRPr="00CB20DE" w:rsidRDefault="00536959" w:rsidP="00536959">
      <w:pPr>
        <w:spacing w:before="100" w:beforeAutospacing="1" w:after="100" w:afterAutospacing="1"/>
        <w:ind w:right="4819"/>
        <w:jc w:val="both"/>
        <w:rPr>
          <w:rFonts w:ascii="TimesNewRomanPS" w:eastAsia="Times New Roman" w:hAnsi="TimesNewRomanPS" w:cs="Times New Roman"/>
          <w:kern w:val="0"/>
          <w:sz w:val="16"/>
          <w:szCs w:val="16"/>
          <w:lang w:eastAsia="en-GB"/>
          <w14:ligatures w14:val="none"/>
        </w:rPr>
      </w:pPr>
    </w:p>
    <w:p w14:paraId="15C6C542" w14:textId="77777777" w:rsidR="00536959" w:rsidRPr="00CB20DE" w:rsidRDefault="00536959" w:rsidP="00114377">
      <w:pPr>
        <w:spacing w:before="100" w:beforeAutospacing="1" w:after="100" w:afterAutospacing="1"/>
        <w:ind w:right="3685"/>
        <w:jc w:val="both"/>
        <w:rPr>
          <w:rFonts w:ascii="TimesNewRomanPS" w:eastAsia="Times New Roman" w:hAnsi="TimesNewRomanPS" w:cs="Times New Roman"/>
          <w:kern w:val="0"/>
          <w:sz w:val="16"/>
          <w:szCs w:val="16"/>
          <w:lang w:eastAsia="en-GB"/>
          <w14:ligatures w14:val="none"/>
        </w:rPr>
      </w:pPr>
    </w:p>
    <w:p w14:paraId="3AF90AF5" w14:textId="6DB04A1B" w:rsidR="005F3E22" w:rsidRPr="00CB20DE" w:rsidRDefault="00536959" w:rsidP="00114377">
      <w:pPr>
        <w:spacing w:before="100" w:beforeAutospacing="1" w:after="100" w:afterAutospacing="1"/>
        <w:ind w:right="3685"/>
        <w:jc w:val="both"/>
        <w:rPr>
          <w:rFonts w:ascii="TimesNewRomanPS" w:eastAsia="Times New Roman" w:hAnsi="TimesNewRomanPS" w:cs="Times New Roman"/>
          <w:kern w:val="0"/>
          <w:sz w:val="28"/>
          <w:szCs w:val="28"/>
          <w:lang w:eastAsia="en-GB"/>
          <w14:ligatures w14:val="none"/>
        </w:rPr>
      </w:pPr>
      <w:r w:rsidRPr="00CB20DE">
        <w:rPr>
          <w:rFonts w:ascii="TimesNewRomanPS" w:eastAsia="Times New Roman" w:hAnsi="TimesNewRomanPS" w:cs="Times New Roman"/>
          <w:kern w:val="0"/>
          <w:sz w:val="28"/>
          <w:szCs w:val="28"/>
          <w:lang w:eastAsia="en-GB"/>
          <w14:ligatures w14:val="none"/>
        </w:rPr>
        <w:t xml:space="preserve">Про встановлення плати за доступ </w:t>
      </w:r>
      <w:r w:rsidR="003526DB" w:rsidRPr="00CB20DE">
        <w:rPr>
          <w:rFonts w:ascii="TimesNewRomanPS" w:eastAsia="Times New Roman" w:hAnsi="TimesNewRomanPS" w:cs="Times New Roman"/>
          <w:kern w:val="0"/>
          <w:sz w:val="28"/>
          <w:szCs w:val="28"/>
          <w:lang w:eastAsia="en-GB"/>
          <w14:ligatures w14:val="none"/>
        </w:rPr>
        <w:t>до об’єктів будівництва, транспорту, енергетики, кабельної каналізації електронних комунікаційних мереж, будинкової розподільної мережі комунальної власності Миколаївської міської територіальної громади</w:t>
      </w:r>
    </w:p>
    <w:p w14:paraId="1F17F13C" w14:textId="77777777" w:rsidR="00114377" w:rsidRPr="00CB20DE" w:rsidRDefault="00114377" w:rsidP="00114377">
      <w:pPr>
        <w:spacing w:before="100" w:beforeAutospacing="1" w:after="100" w:afterAutospacing="1"/>
        <w:ind w:right="3685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16CE4B0" w14:textId="01C0A3F1" w:rsidR="000B6BD1" w:rsidRPr="00CB20DE" w:rsidRDefault="00114377" w:rsidP="000B6BD1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З метою створення належних умов для розвитку конкуренції на ринку </w:t>
      </w:r>
      <w:r w:rsidR="00D952DD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електронних </w:t>
      </w: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комунікаційних послуг шляхом забезпечення ефективного використання існуючих елементів інфраструктури об’єктів будівництва, транспорту, енергетики, кабельної каналізації електронних комунікаційних мереж, будинкової розподільної мережі комунальної власності Миколаївської міської територіальної громади, а також гарантування недискримінаційного доступу постачальників електронних комунікаційних послуг, уповноважених ними осіб до таких об’єктів, враховуючи</w:t>
      </w:r>
      <w:r w:rsidR="008B6E3B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="008415C7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рекомендації адміністративної колегії</w:t>
      </w:r>
      <w:r w:rsidR="008B6E3B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 Південного міжобласного територіального відділення Антимонопольного комітету України від </w:t>
      </w:r>
      <w:r w:rsidR="008415C7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15</w:t>
      </w:r>
      <w:r w:rsidR="008B6E3B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.0</w:t>
      </w:r>
      <w:r w:rsidR="008415C7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2</w:t>
      </w:r>
      <w:r w:rsidR="008B6E3B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.202</w:t>
      </w:r>
      <w:r w:rsidR="008415C7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2</w:t>
      </w:r>
      <w:r w:rsidR="008B6E3B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 №</w:t>
      </w: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="008B6E3B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65/1</w:t>
      </w:r>
      <w:r w:rsidR="008415C7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-рк-к</w:t>
      </w:r>
      <w:r w:rsidR="008B6E3B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, </w:t>
      </w: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відповідно до Закону України «Про доступ до об’єктів будівництва, транспорту, електроенергетики з метою розвитку електронних комунікаційних мереж», </w:t>
      </w:r>
      <w:r w:rsidR="001E1201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керуючись </w:t>
      </w: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п. 57 ч. 1 ст. 26 Закону України «Про місцеве самоврядування в Україні», </w:t>
      </w:r>
      <w:r w:rsidR="000B6BD1" w:rsidRPr="00CB20DE">
        <w:rPr>
          <w:rFonts w:ascii="Times New Roman" w:hAnsi="Times New Roman" w:cs="Times New Roman"/>
          <w:sz w:val="28"/>
          <w:szCs w:val="28"/>
        </w:rPr>
        <w:t>міська рада</w:t>
      </w:r>
    </w:p>
    <w:p w14:paraId="498DF4FA" w14:textId="77777777" w:rsidR="000B6BD1" w:rsidRPr="00CB20DE" w:rsidRDefault="000B6BD1" w:rsidP="000B6BD1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FBE7C5" w14:textId="77777777" w:rsidR="000B6BD1" w:rsidRPr="00CB20DE" w:rsidRDefault="000B6BD1" w:rsidP="000B6BD1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CB20DE">
        <w:rPr>
          <w:rFonts w:ascii="Times New Roman" w:hAnsi="Times New Roman" w:cs="Times New Roman"/>
          <w:sz w:val="28"/>
          <w:szCs w:val="28"/>
        </w:rPr>
        <w:t>ВИРІШИЛА:</w:t>
      </w:r>
    </w:p>
    <w:p w14:paraId="6A47E61D" w14:textId="5C03D26F" w:rsidR="005F3E22" w:rsidRPr="00CB20DE" w:rsidRDefault="005F0BBD" w:rsidP="00B91529">
      <w:pPr>
        <w:spacing w:before="100" w:beforeAutospacing="1" w:after="100" w:afterAutospacing="1"/>
        <w:ind w:firstLine="567"/>
        <w:jc w:val="both"/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</w:pPr>
      <w:r w:rsidRPr="00CB20DE">
        <w:rPr>
          <w:rFonts w:ascii="TimesNewRomanPS" w:eastAsia="Times New Roman" w:hAnsi="TimesNewRomanPS" w:cs="Times New Roman"/>
          <w:kern w:val="0"/>
          <w:sz w:val="28"/>
          <w:szCs w:val="28"/>
          <w:lang w:eastAsia="en-GB"/>
          <w14:ligatures w14:val="none"/>
        </w:rPr>
        <w:t>1.</w:t>
      </w:r>
      <w:r w:rsidRPr="00CB20DE"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Встановити, що плата за доступ до об’єктів будівництва, транспорту, енергетики, кабельної каналізації електронних комунікаційних мереж, будинкової розподільної мережі комунальної власності Миколаївської міської територіальної громади (далі – об’єкт</w:t>
      </w:r>
      <w:r w:rsidR="00E176D4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и</w:t>
      </w: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)</w:t>
      </w:r>
      <w:r w:rsidR="00E176D4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 визначається на договірній основі підприємствами, установами, організаціями, на балансі яких перебувають такі об’єкти (далі – балансоутримувачі) у розмірі, що не перевищує граничний </w:t>
      </w:r>
      <w:r w:rsidR="00E176D4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lastRenderedPageBreak/>
        <w:t>розмір, встановлений Закон</w:t>
      </w:r>
      <w:r w:rsidR="007700C0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ом</w:t>
      </w:r>
      <w:r w:rsidR="00E176D4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 України «Про доступ до об’єктів будівництва, транспорту, електроенергетики з метою розвитку електронних комунікаційних мереж».</w:t>
      </w:r>
    </w:p>
    <w:p w14:paraId="016B66B9" w14:textId="47234800" w:rsidR="00E176D4" w:rsidRPr="00CB20DE" w:rsidRDefault="00E176D4" w:rsidP="00B91529">
      <w:pPr>
        <w:spacing w:before="100" w:beforeAutospacing="1" w:after="100" w:afterAutospacing="1"/>
        <w:ind w:firstLine="567"/>
        <w:jc w:val="both"/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</w:pP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2. </w:t>
      </w:r>
      <w:r w:rsidR="00517B13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Балансоутримувачам:</w:t>
      </w:r>
    </w:p>
    <w:p w14:paraId="765C619A" w14:textId="044B8820" w:rsidR="00517B13" w:rsidRPr="00CB20DE" w:rsidRDefault="00517B13" w:rsidP="00B91529">
      <w:pPr>
        <w:spacing w:before="100" w:beforeAutospacing="1" w:after="100" w:afterAutospacing="1"/>
        <w:ind w:firstLine="567"/>
        <w:jc w:val="both"/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</w:pP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2.1.</w:t>
      </w:r>
      <w:r w:rsidR="00C6693E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Забезпечувати </w:t>
      </w:r>
      <w:r w:rsidR="00CF246B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на договірній основі </w:t>
      </w: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безперешкодний та недискримінаційний доступ </w:t>
      </w:r>
      <w:r w:rsidR="00CF246B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постачальників електронних комунікаційних послуг</w:t>
      </w:r>
      <w:r w:rsidR="007700C0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 та операторів електронних комунікацій</w:t>
      </w: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, уповноважених ними осіб до </w:t>
      </w:r>
      <w:r w:rsidR="00CF246B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об’єктів</w:t>
      </w: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, </w:t>
      </w:r>
      <w:r w:rsidR="00CF246B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які перебувають на </w:t>
      </w: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балансі</w:t>
      </w:r>
      <w:r w:rsidR="00CF246B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66C175D3" w14:textId="3FC6A867" w:rsidR="00CF246B" w:rsidRPr="00CB20DE" w:rsidRDefault="00CF246B" w:rsidP="00B91529">
      <w:pPr>
        <w:spacing w:before="100" w:beforeAutospacing="1" w:after="100" w:afterAutospacing="1"/>
        <w:ind w:firstLine="567"/>
        <w:jc w:val="both"/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</w:pP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2.2. Визначити у договорах з доступу розмір плати за доступ до об’єктів згідно з методиками, затвердженими центральним органом виконавчої влади, що забезпечує формування державної політики у сфері містобудування</w:t>
      </w:r>
      <w:r w:rsidR="00FE4BDA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 з питань доступу</w:t>
      </w:r>
      <w:r w:rsidR="007700C0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 до інфраструктури об’єкта доступу</w:t>
      </w:r>
      <w:r w:rsidR="009722D6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4D3D5C76" w14:textId="17779807" w:rsidR="00775B24" w:rsidRPr="00CB20DE" w:rsidRDefault="009722D6" w:rsidP="00775B24">
      <w:pPr>
        <w:spacing w:before="100" w:beforeAutospacing="1" w:after="100" w:afterAutospacing="1"/>
        <w:ind w:firstLine="567"/>
        <w:jc w:val="both"/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</w:pP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2.3. </w:t>
      </w:r>
      <w:r w:rsidR="00775B24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Надавати виконавчим органам</w:t>
      </w:r>
      <w:r w:rsidR="00BC4262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 Миколаївської міської ради</w:t>
      </w:r>
      <w:r w:rsidR="00775B24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="00D618E1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у підпорядкуванні яких вони перебувають </w:t>
      </w:r>
      <w:r w:rsidR="00775B24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(далі – уповноважен</w:t>
      </w:r>
      <w:r w:rsidR="00D618E1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і</w:t>
      </w:r>
      <w:r w:rsidR="00775B24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 орган</w:t>
      </w:r>
      <w:r w:rsidR="00D618E1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и</w:t>
      </w:r>
      <w:r w:rsidR="00775B24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):</w:t>
      </w:r>
    </w:p>
    <w:p w14:paraId="4610EBDD" w14:textId="77777777" w:rsidR="00775B24" w:rsidRPr="00CB20DE" w:rsidRDefault="00775B24" w:rsidP="00775B24">
      <w:pPr>
        <w:spacing w:before="100" w:beforeAutospacing="1" w:after="100" w:afterAutospacing="1"/>
        <w:ind w:firstLine="567"/>
        <w:jc w:val="both"/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</w:pP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- звіти про дотримання законодавства щодо безперешкодного та недискримінаційного доступу до об’єктів – один раз на рік, до 20 числа місяця, наступного за звітним періодом (форма звіту розробляється та затверджується уповноваженим органом);</w:t>
      </w:r>
    </w:p>
    <w:p w14:paraId="019DA3EE" w14:textId="77777777" w:rsidR="00775B24" w:rsidRPr="00CB20DE" w:rsidRDefault="00775B24" w:rsidP="00775B24">
      <w:pPr>
        <w:spacing w:before="100" w:beforeAutospacing="1" w:after="100" w:afterAutospacing="1"/>
        <w:ind w:firstLine="567"/>
        <w:jc w:val="both"/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</w:pP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- розрахунок плати за доступ до об’єктів – один раз на півріччя, до 20 числа місяця, наступного за звітним періодом. </w:t>
      </w:r>
    </w:p>
    <w:p w14:paraId="61FE7839" w14:textId="1151057E" w:rsidR="009722D6" w:rsidRPr="00CB20DE" w:rsidRDefault="009722D6" w:rsidP="00775B24">
      <w:pPr>
        <w:spacing w:before="100" w:beforeAutospacing="1" w:after="100" w:afterAutospacing="1"/>
        <w:ind w:firstLine="567"/>
        <w:jc w:val="both"/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</w:pP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3. </w:t>
      </w:r>
      <w:r w:rsidR="00775B24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Уповноваженим</w:t>
      </w: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 органам</w:t>
      </w:r>
      <w:r w:rsidR="00775B24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, </w:t>
      </w: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в межах своїх повноважень</w:t>
      </w:r>
      <w:r w:rsidR="00D30225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:</w:t>
      </w:r>
    </w:p>
    <w:p w14:paraId="71B875D2" w14:textId="1028A8CA" w:rsidR="00D30225" w:rsidRPr="00CB20DE" w:rsidRDefault="00D30225" w:rsidP="00B91529">
      <w:pPr>
        <w:spacing w:before="100" w:beforeAutospacing="1" w:after="100" w:afterAutospacing="1"/>
        <w:ind w:firstLine="567"/>
        <w:jc w:val="both"/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</w:pP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3.1. </w:t>
      </w:r>
      <w:r w:rsidR="004E3CBE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Сприяти с</w:t>
      </w: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творенню сприятливих умов для функціонування та розвитку </w:t>
      </w:r>
      <w:r w:rsidR="00423515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мереж електронних комунікацій </w:t>
      </w: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загального користування, а також повноцінному наданню населенню </w:t>
      </w:r>
      <w:r w:rsidR="00D952DD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електронних </w:t>
      </w: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комунікаційних послуг</w:t>
      </w:r>
      <w:r w:rsidR="004E3CBE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37E0DAE3" w14:textId="4CDC1A4B" w:rsidR="00D30225" w:rsidRPr="00CB20DE" w:rsidRDefault="00D30225" w:rsidP="00B91529">
      <w:pPr>
        <w:spacing w:before="100" w:beforeAutospacing="1" w:after="100" w:afterAutospacing="1"/>
        <w:ind w:firstLine="567"/>
        <w:jc w:val="both"/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</w:pP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3.2. </w:t>
      </w:r>
      <w:r w:rsidR="004E3CBE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Сприяти о</w:t>
      </w: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рганізації недискримінаційного доступу постачальників електронних комунікаційних послуг, уповноважених ними осіб</w:t>
      </w:r>
      <w:r w:rsidR="004E3CBE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 до об’єктів на договірній основі з балансоутримувачами.</w:t>
      </w:r>
    </w:p>
    <w:p w14:paraId="7B91AAFD" w14:textId="78D3E7FC" w:rsidR="004E3CBE" w:rsidRPr="00CB20DE" w:rsidRDefault="004E3CBE" w:rsidP="00B91529">
      <w:pPr>
        <w:spacing w:before="100" w:beforeAutospacing="1" w:after="100" w:afterAutospacing="1"/>
        <w:ind w:firstLine="567"/>
        <w:jc w:val="both"/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</w:pP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3.3. Здійснювати контроль за дотриманням балансоутримувачами </w:t>
      </w:r>
      <w:r w:rsidR="0029429B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вимог законодавства щодо забезпечення на договірній основі безперешкодного доступу постачальників електронних комунікаційних послуг, уповноважених ними осіб до об’єктів.</w:t>
      </w:r>
    </w:p>
    <w:p w14:paraId="2CF0DF16" w14:textId="218A5336" w:rsidR="0029429B" w:rsidRPr="00CB20DE" w:rsidRDefault="0029429B" w:rsidP="00B91529">
      <w:pPr>
        <w:spacing w:before="100" w:beforeAutospacing="1" w:after="100" w:afterAutospacing="1"/>
        <w:ind w:firstLine="567"/>
        <w:jc w:val="both"/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</w:pP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3.4. Здійснювати контроль за правильністю обрахування плати за доступ до об’єктів.</w:t>
      </w:r>
    </w:p>
    <w:p w14:paraId="447A7495" w14:textId="06695ECD" w:rsidR="00725B42" w:rsidRPr="00CB20DE" w:rsidRDefault="00FA10CE" w:rsidP="00B91529">
      <w:pPr>
        <w:spacing w:before="100" w:beforeAutospacing="1" w:after="100" w:afterAutospacing="1"/>
        <w:ind w:firstLine="567"/>
        <w:jc w:val="both"/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</w:pP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lastRenderedPageBreak/>
        <w:t>4</w:t>
      </w:r>
      <w:r w:rsidR="0029429B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.</w:t>
      </w:r>
      <w:r w:rsidR="00B91529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="00536959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Департаменту міського голови Миколаївської міської ради оприлюднити рішення в друкованих </w:t>
      </w:r>
      <w:r w:rsidR="00EF4A7F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медіа</w:t>
      </w:r>
      <w:r w:rsidR="00536959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 відповідно до ст. 12 Закону України «Про засади державної регуляторної політики у сфері господарської діяльності».</w:t>
      </w:r>
      <w:r w:rsidR="00FE4BDA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 </w:t>
      </w:r>
    </w:p>
    <w:p w14:paraId="0A14CB0E" w14:textId="4992F111" w:rsidR="005F3E22" w:rsidRPr="00CB20DE" w:rsidRDefault="00FA10CE" w:rsidP="00B91529">
      <w:pPr>
        <w:spacing w:before="100" w:beforeAutospacing="1" w:after="100" w:afterAutospacing="1"/>
        <w:ind w:firstLine="567"/>
        <w:jc w:val="both"/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</w:pPr>
      <w:r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5</w:t>
      </w:r>
      <w:r w:rsidR="00725B42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. </w:t>
      </w:r>
      <w:r w:rsidR="005F3E22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Контроль за виконанням </w:t>
      </w:r>
      <w:r w:rsidR="001E1201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даного </w:t>
      </w:r>
      <w:r w:rsidR="005F3E22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рішення покласти </w:t>
      </w:r>
      <w:r w:rsidR="00AE4E58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на постійні комісії міської ради: 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AE4E58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Кісельову</w:t>
      </w:r>
      <w:proofErr w:type="spellEnd"/>
      <w:r w:rsidR="00AE4E58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),</w:t>
      </w:r>
      <w:r w:rsidR="00725B42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="001E1201" w:rsidRPr="00CB20DE">
        <w:rPr>
          <w:rFonts w:ascii="TimesNewRomanPSMT" w:eastAsia="Times New Roman" w:hAnsi="TimesNewRomanPSMT" w:cs="Times New Roman"/>
          <w:kern w:val="0"/>
          <w:sz w:val="28"/>
          <w:szCs w:val="28"/>
          <w:lang w:eastAsia="en-GB"/>
          <w14:ligatures w14:val="none"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заступника міського голови Андрієнка Ю.Г.</w:t>
      </w:r>
    </w:p>
    <w:p w14:paraId="7B1DF2B8" w14:textId="77777777" w:rsidR="0029429B" w:rsidRPr="00CB20DE" w:rsidRDefault="0029429B">
      <w:pPr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shd w:val="clear" w:color="auto" w:fill="FFFFFF"/>
          <w:lang w:eastAsia="en-GB"/>
          <w14:ligatures w14:val="none"/>
        </w:rPr>
      </w:pPr>
    </w:p>
    <w:p w14:paraId="4D677FCD" w14:textId="77777777" w:rsidR="00725B42" w:rsidRPr="00CB20DE" w:rsidRDefault="00725B42">
      <w:pPr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shd w:val="clear" w:color="auto" w:fill="FFFFFF"/>
          <w:lang w:eastAsia="en-GB"/>
          <w14:ligatures w14:val="none"/>
        </w:rPr>
      </w:pPr>
    </w:p>
    <w:p w14:paraId="60CF53CF" w14:textId="79510009" w:rsidR="005F3E22" w:rsidRPr="00F41851" w:rsidRDefault="0029429B">
      <w:r w:rsidRPr="00CB20DE">
        <w:rPr>
          <w:rFonts w:ascii="TimesNewRomanPS" w:eastAsia="Times New Roman" w:hAnsi="TimesNewRomanPS" w:cs="Times New Roman"/>
          <w:kern w:val="0"/>
          <w:sz w:val="28"/>
          <w:szCs w:val="28"/>
          <w:shd w:val="clear" w:color="auto" w:fill="FFFFFF"/>
          <w:lang w:eastAsia="en-GB"/>
          <w14:ligatures w14:val="none"/>
        </w:rPr>
        <w:t>Міський голова</w:t>
      </w:r>
      <w:r w:rsidR="005F3E22" w:rsidRPr="00CB20DE">
        <w:rPr>
          <w:rFonts w:ascii="TimesNewRomanPS" w:eastAsia="Times New Roman" w:hAnsi="TimesNewRomanPS" w:cs="Times New Roman"/>
          <w:kern w:val="0"/>
          <w:sz w:val="28"/>
          <w:szCs w:val="28"/>
          <w:shd w:val="clear" w:color="auto" w:fill="FFFFFF"/>
          <w:lang w:eastAsia="en-GB"/>
          <w14:ligatures w14:val="none"/>
        </w:rPr>
        <w:tab/>
      </w:r>
      <w:r w:rsidR="005F3E22" w:rsidRPr="00CB20DE">
        <w:rPr>
          <w:rFonts w:ascii="TimesNewRomanPS" w:eastAsia="Times New Roman" w:hAnsi="TimesNewRomanPS" w:cs="Times New Roman"/>
          <w:kern w:val="0"/>
          <w:sz w:val="28"/>
          <w:szCs w:val="28"/>
          <w:shd w:val="clear" w:color="auto" w:fill="FFFFFF"/>
          <w:lang w:eastAsia="en-GB"/>
          <w14:ligatures w14:val="none"/>
        </w:rPr>
        <w:tab/>
      </w:r>
      <w:r w:rsidR="005F3E22" w:rsidRPr="00CB20DE">
        <w:rPr>
          <w:rFonts w:ascii="TimesNewRomanPS" w:eastAsia="Times New Roman" w:hAnsi="TimesNewRomanPS" w:cs="Times New Roman"/>
          <w:kern w:val="0"/>
          <w:sz w:val="28"/>
          <w:szCs w:val="28"/>
          <w:shd w:val="clear" w:color="auto" w:fill="FFFFFF"/>
          <w:lang w:eastAsia="en-GB"/>
          <w14:ligatures w14:val="none"/>
        </w:rPr>
        <w:tab/>
      </w:r>
      <w:r w:rsidR="00B5210A" w:rsidRPr="00CB20DE">
        <w:rPr>
          <w:rFonts w:ascii="TimesNewRomanPS" w:eastAsia="Times New Roman" w:hAnsi="TimesNewRomanPS" w:cs="Times New Roman"/>
          <w:kern w:val="0"/>
          <w:sz w:val="28"/>
          <w:szCs w:val="28"/>
          <w:shd w:val="clear" w:color="auto" w:fill="FFFFFF"/>
          <w:lang w:eastAsia="en-GB"/>
          <w14:ligatures w14:val="none"/>
        </w:rPr>
        <w:tab/>
      </w:r>
      <w:r w:rsidR="00B5210A" w:rsidRPr="00CB20DE">
        <w:rPr>
          <w:rFonts w:ascii="TimesNewRomanPS" w:eastAsia="Times New Roman" w:hAnsi="TimesNewRomanPS" w:cs="Times New Roman"/>
          <w:kern w:val="0"/>
          <w:sz w:val="28"/>
          <w:szCs w:val="28"/>
          <w:shd w:val="clear" w:color="auto" w:fill="FFFFFF"/>
          <w:lang w:eastAsia="en-GB"/>
          <w14:ligatures w14:val="none"/>
        </w:rPr>
        <w:tab/>
      </w:r>
      <w:r w:rsidR="00B5210A" w:rsidRPr="00CB20DE">
        <w:rPr>
          <w:rFonts w:ascii="TimesNewRomanPS" w:eastAsia="Times New Roman" w:hAnsi="TimesNewRomanPS" w:cs="Times New Roman"/>
          <w:kern w:val="0"/>
          <w:sz w:val="28"/>
          <w:szCs w:val="28"/>
          <w:shd w:val="clear" w:color="auto" w:fill="FFFFFF"/>
          <w:lang w:eastAsia="en-GB"/>
          <w14:ligatures w14:val="none"/>
        </w:rPr>
        <w:tab/>
      </w:r>
      <w:r w:rsidR="00F41851" w:rsidRPr="00CB20DE">
        <w:rPr>
          <w:rFonts w:ascii="TimesNewRomanPS" w:eastAsia="Times New Roman" w:hAnsi="TimesNewRomanPS" w:cs="Times New Roman" w:hint="eastAsia"/>
          <w:kern w:val="0"/>
          <w:sz w:val="28"/>
          <w:szCs w:val="28"/>
          <w:shd w:val="clear" w:color="auto" w:fill="FFFFFF"/>
          <w:lang w:eastAsia="en-GB"/>
          <w14:ligatures w14:val="none"/>
        </w:rPr>
        <w:t>   </w:t>
      </w:r>
      <w:r w:rsidR="00B5210A" w:rsidRPr="00CB20DE">
        <w:rPr>
          <w:rFonts w:ascii="TimesNewRomanPS" w:eastAsia="Times New Roman" w:hAnsi="TimesNewRomanPS" w:cs="Times New Roman" w:hint="eastAsia"/>
          <w:kern w:val="0"/>
          <w:sz w:val="28"/>
          <w:szCs w:val="28"/>
          <w:shd w:val="clear" w:color="auto" w:fill="FFFFFF"/>
          <w:lang w:eastAsia="en-GB"/>
          <w14:ligatures w14:val="none"/>
        </w:rPr>
        <w:t>       </w:t>
      </w:r>
      <w:r w:rsidR="00CB20DE">
        <w:rPr>
          <w:rFonts w:ascii="TimesNewRomanPS" w:eastAsia="Times New Roman" w:hAnsi="TimesNewRomanPS" w:cs="Times New Roman"/>
          <w:kern w:val="0"/>
          <w:sz w:val="28"/>
          <w:szCs w:val="28"/>
          <w:shd w:val="clear" w:color="auto" w:fill="FFFFFF"/>
          <w:lang w:eastAsia="en-GB"/>
          <w14:ligatures w14:val="none"/>
        </w:rPr>
        <w:t xml:space="preserve">              </w:t>
      </w:r>
      <w:r w:rsidRPr="00CB20DE">
        <w:rPr>
          <w:rFonts w:ascii="TimesNewRomanPS" w:eastAsia="Times New Roman" w:hAnsi="TimesNewRomanPS" w:cs="Times New Roman"/>
          <w:kern w:val="0"/>
          <w:sz w:val="28"/>
          <w:szCs w:val="28"/>
          <w:shd w:val="clear" w:color="auto" w:fill="FFFFFF"/>
          <w:lang w:eastAsia="en-GB"/>
          <w14:ligatures w14:val="none"/>
        </w:rPr>
        <w:t>О</w:t>
      </w:r>
      <w:r w:rsidR="00CB20DE">
        <w:rPr>
          <w:rFonts w:ascii="TimesNewRomanPS" w:eastAsia="Times New Roman" w:hAnsi="TimesNewRomanPS" w:cs="Times New Roman"/>
          <w:kern w:val="0"/>
          <w:sz w:val="28"/>
          <w:szCs w:val="28"/>
          <w:shd w:val="clear" w:color="auto" w:fill="FFFFFF"/>
          <w:lang w:eastAsia="en-GB"/>
          <w14:ligatures w14:val="none"/>
        </w:rPr>
        <w:t>.</w:t>
      </w:r>
      <w:r w:rsidR="005F3E22" w:rsidRPr="00CB20DE">
        <w:rPr>
          <w:rFonts w:ascii="TimesNewRomanPS" w:eastAsia="Times New Roman" w:hAnsi="TimesNewRomanPS" w:cs="Times New Roman"/>
          <w:kern w:val="0"/>
          <w:sz w:val="28"/>
          <w:szCs w:val="28"/>
          <w:shd w:val="clear" w:color="auto" w:fill="FFFFFF"/>
          <w:lang w:eastAsia="en-GB"/>
          <w14:ligatures w14:val="none"/>
        </w:rPr>
        <w:t xml:space="preserve"> </w:t>
      </w:r>
      <w:r w:rsidRPr="00CB20DE">
        <w:rPr>
          <w:rFonts w:ascii="TimesNewRomanPS" w:eastAsia="Times New Roman" w:hAnsi="TimesNewRomanPS" w:cs="Times New Roman"/>
          <w:kern w:val="0"/>
          <w:sz w:val="28"/>
          <w:szCs w:val="28"/>
          <w:shd w:val="clear" w:color="auto" w:fill="FFFFFF"/>
          <w:lang w:eastAsia="en-GB"/>
          <w14:ligatures w14:val="none"/>
        </w:rPr>
        <w:t>СЄНКЕВИЧ</w:t>
      </w:r>
    </w:p>
    <w:sectPr w:rsidR="005F3E22" w:rsidRPr="00F41851" w:rsidSect="00793CB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0F"/>
    <w:rsid w:val="000B6BD1"/>
    <w:rsid w:val="00114377"/>
    <w:rsid w:val="001B0319"/>
    <w:rsid w:val="001E1201"/>
    <w:rsid w:val="002303E9"/>
    <w:rsid w:val="002437D0"/>
    <w:rsid w:val="0024459A"/>
    <w:rsid w:val="0029429B"/>
    <w:rsid w:val="00337A1A"/>
    <w:rsid w:val="003526DB"/>
    <w:rsid w:val="00423515"/>
    <w:rsid w:val="004E3CBE"/>
    <w:rsid w:val="00517B13"/>
    <w:rsid w:val="00536959"/>
    <w:rsid w:val="005F0BBD"/>
    <w:rsid w:val="005F3E22"/>
    <w:rsid w:val="0067751C"/>
    <w:rsid w:val="006A3D5E"/>
    <w:rsid w:val="00725B42"/>
    <w:rsid w:val="007700C0"/>
    <w:rsid w:val="00775B24"/>
    <w:rsid w:val="00793CBF"/>
    <w:rsid w:val="008415C7"/>
    <w:rsid w:val="00872997"/>
    <w:rsid w:val="008B6E3B"/>
    <w:rsid w:val="008E3E1A"/>
    <w:rsid w:val="009235D0"/>
    <w:rsid w:val="009722D6"/>
    <w:rsid w:val="00AE4E58"/>
    <w:rsid w:val="00B5210A"/>
    <w:rsid w:val="00B91529"/>
    <w:rsid w:val="00BC4262"/>
    <w:rsid w:val="00C6693E"/>
    <w:rsid w:val="00CB20DE"/>
    <w:rsid w:val="00CF246B"/>
    <w:rsid w:val="00D30225"/>
    <w:rsid w:val="00D618E1"/>
    <w:rsid w:val="00D952DD"/>
    <w:rsid w:val="00E176D4"/>
    <w:rsid w:val="00E4670F"/>
    <w:rsid w:val="00EB6A95"/>
    <w:rsid w:val="00EF4A7F"/>
    <w:rsid w:val="00F41851"/>
    <w:rsid w:val="00FA10CE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43CE"/>
  <w15:chartTrackingRefBased/>
  <w15:docId w15:val="{79B147BC-0555-7F43-B8E2-E766999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E22"/>
  </w:style>
  <w:style w:type="paragraph" w:styleId="1">
    <w:name w:val="heading 1"/>
    <w:basedOn w:val="a"/>
    <w:next w:val="a"/>
    <w:link w:val="10"/>
    <w:uiPriority w:val="9"/>
    <w:qFormat/>
    <w:rsid w:val="00E46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7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7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7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7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6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6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670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670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67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67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67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67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67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7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6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67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67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67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670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6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670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467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2736</Words>
  <Characters>1560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Sharovska</dc:creator>
  <cp:keywords/>
  <dc:description/>
  <cp:lastModifiedBy>Артем Сапожник</cp:lastModifiedBy>
  <cp:revision>16</cp:revision>
  <cp:lastPrinted>2024-04-29T10:46:00Z</cp:lastPrinted>
  <dcterms:created xsi:type="dcterms:W3CDTF">2024-04-24T06:19:00Z</dcterms:created>
  <dcterms:modified xsi:type="dcterms:W3CDTF">2024-05-28T12:46:00Z</dcterms:modified>
</cp:coreProperties>
</file>