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147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73"/>
        <w:gridCol w:w="5074"/>
      </w:tblGrid>
      <w:tr>
        <w:trPr/>
        <w:tc>
          <w:tcPr>
            <w:tcW w:w="5073" w:type="dxa"/>
            <w:tcBorders/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5074" w:type="dxa"/>
            <w:tcBorders/>
            <w:shd w:fill="auto" w:val="clear"/>
          </w:tcPr>
          <w:p>
            <w:pPr>
              <w:pStyle w:val="Style19"/>
              <w:rPr/>
            </w:pPr>
            <w:r>
              <w:rPr/>
              <w:t xml:space="preserve">Додаток </w:t>
            </w:r>
            <w:r>
              <w:rPr/>
              <w:t>2</w:t>
            </w:r>
          </w:p>
        </w:tc>
      </w:tr>
      <w:tr>
        <w:trPr/>
        <w:tc>
          <w:tcPr>
            <w:tcW w:w="5073" w:type="dxa"/>
            <w:tcBorders/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5074" w:type="dxa"/>
            <w:tcBorders/>
            <w:shd w:fill="auto" w:val="clear"/>
          </w:tcPr>
          <w:p>
            <w:pPr>
              <w:pStyle w:val="Style19"/>
              <w:rPr/>
            </w:pPr>
            <w:r>
              <w:rPr/>
              <w:t xml:space="preserve">До Аналізу регуляторного впливу до проекту </w:t>
            </w:r>
            <w:r>
              <w:rPr/>
              <w:t xml:space="preserve">рішення виконкому Миколаївської міської ради “Про затвердження Правил приймання стічних вод до систем централізованого </w:t>
            </w:r>
            <w:r>
              <w:rPr/>
              <w:t>в</w:t>
            </w:r>
            <w:r>
              <w:rPr/>
              <w:t>одовідведення  м. Миколаєва”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Тест малого підприємництва (М-Тест)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567"/>
        <w:jc w:val="both"/>
        <w:rPr/>
      </w:pPr>
      <w:r>
        <w:rPr/>
        <w:tab/>
      </w:r>
      <w:r>
        <w:rPr/>
        <w:t>1. Консультації з представниками мікро- та малого підприємництва щодо оцінки впливу регулювання</w:t>
      </w:r>
    </w:p>
    <w:p>
      <w:pPr>
        <w:pStyle w:val="Style15"/>
        <w:rPr/>
      </w:pPr>
      <w:bookmarkStart w:id="0" w:name="n201"/>
      <w:bookmarkEnd w:id="0"/>
      <w:r>
        <w:rPr/>
        <w:tab/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>
        <w:rPr/>
        <w:t>08.06.</w:t>
      </w:r>
      <w:r>
        <w:rPr/>
        <w:t xml:space="preserve"> 20</w:t>
      </w:r>
      <w:r>
        <w:rPr/>
        <w:t>18</w:t>
      </w:r>
      <w:r>
        <w:rPr/>
        <w:t xml:space="preserve"> р. </w:t>
      </w:r>
      <w:r>
        <w:rPr/>
        <w:t>п</w:t>
      </w:r>
      <w:r>
        <w:rPr/>
        <w:t xml:space="preserve">о </w:t>
      </w:r>
      <w:r>
        <w:rPr/>
        <w:t>10.08.2018</w:t>
      </w:r>
      <w:r>
        <w:rPr/>
        <w:t xml:space="preserve"> р.</w:t>
      </w: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  <w:bookmarkStart w:id="1" w:name="n202"/>
      <w:bookmarkStart w:id="2" w:name="n202"/>
      <w:bookmarkEnd w:id="2"/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850"/>
        <w:gridCol w:w="3971"/>
        <w:gridCol w:w="1701"/>
        <w:gridCol w:w="3625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283"/>
              <w:rPr/>
            </w:pPr>
            <w:r>
              <w:rPr/>
              <w:t>Порядковий номер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0"/>
              <w:rPr/>
            </w:pPr>
            <w:r>
              <w:rPr/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283"/>
              <w:rPr/>
            </w:pPr>
            <w:r>
              <w:rPr/>
              <w:t>Кількість учасників консультацій, осіб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0"/>
              <w:rPr/>
            </w:pPr>
            <w:r>
              <w:rPr/>
              <w:t>Основні результати консультацій (опис)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1.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Робочі зустрічі, наради</w:t>
            </w:r>
          </w:p>
          <w:p>
            <w:pPr>
              <w:pStyle w:val="Style19"/>
              <w:spacing w:before="0" w:after="0"/>
              <w:rPr/>
            </w:pPr>
            <w:r>
              <w:rPr/>
              <w:t>1. ФГ “Владам”</w:t>
            </w:r>
          </w:p>
          <w:p>
            <w:pPr>
              <w:pStyle w:val="Style19"/>
              <w:spacing w:before="0" w:after="0"/>
              <w:rPr/>
            </w:pPr>
            <w:r>
              <w:rPr/>
              <w:t>2. ФОП Білоножко О.В.</w:t>
            </w:r>
          </w:p>
          <w:p>
            <w:pPr>
              <w:pStyle w:val="Style19"/>
              <w:spacing w:before="0" w:after="0"/>
              <w:rPr/>
            </w:pPr>
            <w:r>
              <w:rPr/>
              <w:t>3. ТОВ “Південний Автовокзал”</w:t>
            </w:r>
          </w:p>
          <w:p>
            <w:pPr>
              <w:pStyle w:val="Style19"/>
              <w:spacing w:before="0" w:after="0"/>
              <w:rPr/>
            </w:pPr>
            <w:r>
              <w:rPr/>
              <w:t>4. ТЦ Система</w:t>
            </w:r>
          </w:p>
          <w:p>
            <w:pPr>
              <w:pStyle w:val="Style19"/>
              <w:spacing w:before="0" w:after="0"/>
              <w:rPr/>
            </w:pPr>
            <w:r>
              <w:rPr/>
              <w:t>5. ПрАТ “Ремпобуттехника”</w:t>
            </w:r>
          </w:p>
          <w:p>
            <w:pPr>
              <w:pStyle w:val="Style19"/>
              <w:spacing w:before="0" w:after="0"/>
              <w:rPr/>
            </w:pPr>
            <w:r>
              <w:rPr/>
              <w:t>6. ТОВ ВК “Бізнес-реал”</w:t>
            </w:r>
          </w:p>
          <w:p>
            <w:pPr>
              <w:pStyle w:val="Style19"/>
              <w:spacing w:before="0" w:after="0"/>
              <w:rPr/>
            </w:pPr>
            <w:r>
              <w:rPr/>
              <w:t>7. ТОВ “Николаевспецмонтажсервис”</w:t>
            </w:r>
          </w:p>
          <w:p>
            <w:pPr>
              <w:pStyle w:val="Style19"/>
              <w:spacing w:before="0" w:after="0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7</w:t>
            </w:r>
          </w:p>
          <w:p>
            <w:pPr>
              <w:pStyle w:val="Style19"/>
              <w:spacing w:before="0" w:after="283"/>
              <w:rPr/>
            </w:pPr>
            <w:r>
              <w:rPr/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Надано  розрахунок витрат суб’єктів малого підприємництва.</w:t>
            </w:r>
          </w:p>
          <w:p>
            <w:pPr>
              <w:pStyle w:val="Normal"/>
              <w:spacing w:before="0" w:after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before="0" w:after="0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Наголошення</w:t>
            </w:r>
            <w:r>
              <w:rPr>
                <w:lang w:val="uk-UA"/>
              </w:rPr>
              <w:t xml:space="preserve"> на  необхід- ності забезпечення екологічної ситуації в м. </w:t>
            </w:r>
            <w:r>
              <w:rPr>
                <w:lang w:val="uk-UA"/>
              </w:rPr>
              <w:t>Миколаїв</w:t>
            </w:r>
            <w:r>
              <w:rPr>
                <w:lang w:val="uk-UA"/>
              </w:rPr>
              <w:t xml:space="preserve"> шляхом проведення  систематичного контролю за якістю стічних вод, доведення стічних вод споживачів до показників допустимих концентрацій для їх безпечного відведення та очищення на </w:t>
            </w:r>
            <w:r>
              <w:rPr>
                <w:lang w:val="uk-UA"/>
              </w:rPr>
              <w:t>міських</w:t>
            </w:r>
            <w:r>
              <w:rPr>
                <w:lang w:val="uk-UA"/>
              </w:rPr>
              <w:t xml:space="preserve"> очисних спорудах каналі-заці</w:t>
            </w:r>
            <w:r>
              <w:rPr>
                <w:lang w:val="uk-UA"/>
              </w:rPr>
              <w:t xml:space="preserve">ї для </w:t>
            </w:r>
            <w:r>
              <w:rPr>
                <w:lang w:val="uk-UA"/>
              </w:rPr>
              <w:t>запобігання псуванню систем водовідведення.</w:t>
            </w:r>
          </w:p>
        </w:tc>
      </w:tr>
    </w:tbl>
    <w:p>
      <w:pPr>
        <w:pStyle w:val="Style15"/>
        <w:rPr/>
      </w:pPr>
      <w:r>
        <w:rPr/>
      </w:r>
    </w:p>
    <w:p>
      <w:pPr>
        <w:pStyle w:val="Style15"/>
        <w:rPr/>
      </w:pPr>
      <w:bookmarkStart w:id="3" w:name="n203"/>
      <w:bookmarkEnd w:id="3"/>
      <w:r>
        <w:rPr/>
        <w:t>2. Вимірювання впливу регулювання на суб’єктів малого підприємництва (мікро- та малі):</w:t>
      </w:r>
    </w:p>
    <w:p>
      <w:pPr>
        <w:pStyle w:val="Style15"/>
        <w:rPr/>
      </w:pPr>
      <w:bookmarkStart w:id="4" w:name="n204"/>
      <w:bookmarkEnd w:id="4"/>
      <w:r>
        <w:rPr/>
        <w:t>2.1. К</w:t>
      </w:r>
      <w:r>
        <w:rPr/>
        <w:t xml:space="preserve">ількість суб’єктів малого підприємництва, на яких поширюється регулювання: </w:t>
      </w:r>
      <w:r>
        <w:rPr/>
        <w:t xml:space="preserve">5884 </w:t>
      </w:r>
      <w:r>
        <w:rPr/>
        <w:t>одиниць</w:t>
      </w:r>
    </w:p>
    <w:p>
      <w:pPr>
        <w:pStyle w:val="Style15"/>
        <w:rPr/>
      </w:pPr>
      <w:bookmarkStart w:id="5" w:name="n205"/>
      <w:bookmarkEnd w:id="5"/>
      <w:r>
        <w:rPr/>
        <w:t>2.2. П</w:t>
      </w:r>
      <w:r>
        <w:rPr/>
        <w:t xml:space="preserve">итома вага суб’єктів малого підприємництва у загальній кількості суб’єктів господарювання, на яких проблема справляє вплив </w:t>
      </w:r>
      <w:r>
        <w:rPr/>
        <w:t>96,92%.</w:t>
      </w:r>
    </w:p>
    <w:p>
      <w:pPr>
        <w:pStyle w:val="Style15"/>
        <w:rPr/>
      </w:pPr>
      <w:bookmarkStart w:id="6" w:name="n206"/>
      <w:bookmarkEnd w:id="6"/>
      <w:r>
        <w:rPr/>
        <w:t>3. Розрахунок витрат суб’єктів малого підприємництва на виконання вимог регулювання</w:t>
      </w:r>
    </w:p>
    <w:tbl>
      <w:tblPr>
        <w:tblW w:w="9817" w:type="dxa"/>
        <w:jc w:val="left"/>
        <w:tblInd w:w="-6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904"/>
        <w:gridCol w:w="3692"/>
        <w:gridCol w:w="1814"/>
        <w:gridCol w:w="1639"/>
        <w:gridCol w:w="1768"/>
      </w:tblGrid>
      <w:tr>
        <w:trPr>
          <w:trHeight w:val="23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Порядковий номер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Найменування оцінки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У перший рік (стартовий рік впровадження регулювання)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Періодичні (за наступний рік)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Витрати за</w:t>
              <w:br/>
              <w:t>п’ять років</w:t>
            </w:r>
          </w:p>
        </w:tc>
      </w:tr>
      <w:tr>
        <w:trPr>
          <w:trHeight w:val="23" w:hRule="atLeast"/>
        </w:trPr>
        <w:tc>
          <w:tcPr>
            <w:tcW w:w="98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Оцінка “прямих” витрат суб’єктів малого підприємництва на виконання регулювання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/>
              <w:jc w:val="center"/>
              <w:textAlignment w:val="baseline"/>
              <w:rPr/>
            </w:pPr>
            <w:r>
              <w:rPr/>
              <w:t>1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r>
              <w:rPr/>
              <w:t xml:space="preserve">Витрати на придбання </w:t>
            </w:r>
            <w:r>
              <w:rPr>
                <w:lang w:val="uk-UA"/>
              </w:rPr>
              <w:t>локальних очисних споруд</w:t>
            </w:r>
            <w:r>
              <w:rPr/>
              <w:t xml:space="preserve">, гривень </w:t>
            </w:r>
          </w:p>
          <w:p>
            <w:pPr>
              <w:pStyle w:val="Normal"/>
              <w:textAlignment w:val="baseline"/>
              <w:rPr/>
            </w:pPr>
            <w:r>
              <w:rPr/>
              <w:t xml:space="preserve">Придбання </w:t>
            </w:r>
            <w:r>
              <w:rPr>
                <w:lang w:val="uk-UA"/>
              </w:rPr>
              <w:t xml:space="preserve">іншого </w:t>
            </w:r>
            <w:r>
              <w:rPr/>
              <w:t>необхідного обладнання</w:t>
            </w:r>
            <w:r>
              <w:rPr>
                <w:lang w:val="uk-UA"/>
              </w:rPr>
              <w:t xml:space="preserve">   </w:t>
            </w:r>
            <w:r>
              <w:rPr/>
              <w:t>(пристроїв, машин, механізмів</w:t>
            </w:r>
            <w:r>
              <w:rPr>
                <w:lang w:val="uk-UA"/>
              </w:rPr>
              <w:t>)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Не передбачен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sz w:val="24"/>
                <w:szCs w:val="24"/>
                <w:lang w:val="ru-RU"/>
              </w:rPr>
              <w:t>Не передбачен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sz w:val="24"/>
                <w:szCs w:val="24"/>
                <w:lang w:val="ru-RU"/>
              </w:rPr>
              <w:t>Не передбачен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>
        <w:trPr>
          <w:trHeight w:val="1265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tLeast" w:line="15"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r>
              <w:rPr>
                <w:sz w:val="24"/>
                <w:szCs w:val="24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  <w:r>
              <w:rPr>
                <w:sz w:val="24"/>
                <w:szCs w:val="24"/>
                <w:lang w:val="uk-UA"/>
              </w:rPr>
              <w:t xml:space="preserve">                            </w:t>
            </w:r>
          </w:p>
          <w:p>
            <w:pPr>
              <w:pStyle w:val="Normal"/>
              <w:textAlignment w:val="baseline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sz w:val="24"/>
                <w:szCs w:val="24"/>
                <w:lang w:val="ru-RU"/>
              </w:rPr>
              <w:t>Не передбачен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sz w:val="24"/>
                <w:szCs w:val="24"/>
                <w:lang w:val="ru-RU"/>
              </w:rPr>
              <w:t>Не передбачен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sz w:val="24"/>
                <w:szCs w:val="24"/>
                <w:lang w:val="ru-RU"/>
              </w:rPr>
              <w:t>Не передбачен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r>
              <w:rPr>
                <w:sz w:val="24"/>
                <w:szCs w:val="24"/>
              </w:rPr>
              <w:t>Процедури експлуатації обладнання (</w:t>
            </w:r>
            <w:r>
              <w:rPr>
                <w:sz w:val="24"/>
                <w:szCs w:val="24"/>
                <w:lang w:val="uk-UA"/>
              </w:rPr>
              <w:t xml:space="preserve">прочищення каналізаційної мережі - здійснення та відновлення пропускної здатності трубопроводів та колекторів із залученням технічних засобів)            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650,00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3 250,00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r>
              <w:rPr>
                <w:sz w:val="24"/>
                <w:szCs w:val="24"/>
              </w:rPr>
              <w:t>Процедури обслуговування обладнання (</w:t>
            </w:r>
            <w:r>
              <w:rPr>
                <w:sz w:val="24"/>
                <w:szCs w:val="24"/>
                <w:lang w:val="uk-UA"/>
              </w:rPr>
              <w:t>витрати на сервісне обслуговування  уловлювачів жиру (у разі наявності), гривень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480,00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2400,00</w:t>
            </w:r>
          </w:p>
        </w:tc>
      </w:tr>
      <w:tr>
        <w:trPr>
          <w:trHeight w:val="2770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процедури :</w:t>
            </w:r>
          </w:p>
          <w:tbl>
            <w:tblPr>
              <w:tblW w:w="9628" w:type="dxa"/>
              <w:jc w:val="left"/>
              <w:tblInd w:w="4" w:type="dxa"/>
              <w:tblBorders/>
              <w:tblCellMar>
                <w:top w:w="0" w:type="dxa"/>
                <w:left w:w="2" w:type="dxa"/>
                <w:bottom w:w="0" w:type="dxa"/>
                <w:right w:w="0" w:type="dxa"/>
              </w:tblCellMar>
            </w:tblPr>
            <w:tblGrid>
              <w:gridCol w:w="9628"/>
            </w:tblGrid>
            <w:tr>
              <w:trPr/>
              <w:tc>
                <w:tcPr>
                  <w:tcW w:w="9628" w:type="dxa"/>
                  <w:tcBorders/>
                  <w:shd w:fill="FFFFFF" w:val="clear"/>
                </w:tcPr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9628" w:type="dxa"/>
                  <w:tcBorders/>
                  <w:shd w:fill="FFFFFF" w:val="clear"/>
                </w:tcPr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9628" w:type="dxa"/>
                  <w:tcBorders/>
                  <w:shd w:fill="FFFFFF" w:val="clear"/>
                </w:tcPr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  <w:t xml:space="preserve">Витрати, пов’язані із </w:t>
                  </w:r>
                  <w:r>
                    <w:rPr>
                      <w:lang w:val="uk-UA"/>
                    </w:rPr>
                    <w:t>н</w:t>
                  </w:r>
                  <w:r>
                    <w:rPr/>
                    <w:t xml:space="preserve">аймом 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  <w:t>додаткового персоналу, гривень</w:t>
                  </w:r>
                </w:p>
              </w:tc>
            </w:tr>
          </w:tbl>
          <w:p>
            <w:pPr>
              <w:pStyle w:val="Normal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Витрати на утилізацію або вивезення осадів (жиру), утворених на локальних очисних спорудах, гривень                        </w:t>
            </w:r>
          </w:p>
          <w:p>
            <w:pPr>
              <w:pStyle w:val="Normal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2000,00                                 </w:t>
            </w:r>
          </w:p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Разом, гривень</w:t>
            </w:r>
          </w:p>
          <w:p>
            <w:pPr>
              <w:pStyle w:val="Normal"/>
              <w:textAlignment w:val="baseline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i w:val="false"/>
                <w:i w:val="false"/>
                <w:iCs w:val="false"/>
                <w:color w:val="000000"/>
                <w:sz w:val="24"/>
                <w:szCs w:val="24"/>
                <w:lang w:val="ru-RU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630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5" w:before="150" w:after="150"/>
              <w:jc w:val="center"/>
              <w:textAlignment w:val="baseline"/>
              <w:rPr>
                <w:i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i w:val="false"/>
                <w:i w:val="false"/>
                <w:iCs w:val="false"/>
                <w:color w:val="000000"/>
                <w:sz w:val="24"/>
                <w:szCs w:val="24"/>
                <w:lang w:val="ru-RU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650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52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</w:p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1765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Сумарно, гривень</w:t>
            </w:r>
          </w:p>
          <w:p>
            <w:pPr>
              <w:pStyle w:val="Normal"/>
              <w:textAlignment w:val="baseline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8171950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5" w:before="150" w:after="150"/>
              <w:jc w:val="center"/>
              <w:textAlignment w:val="baseline"/>
              <w:rPr>
                <w:i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18797250</w:t>
            </w:r>
          </w:p>
        </w:tc>
      </w:tr>
      <w:tr>
        <w:trPr>
          <w:trHeight w:val="23" w:hRule="atLeast"/>
        </w:trPr>
        <w:tc>
          <w:tcPr>
            <w:tcW w:w="98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0" w:after="150"/>
              <w:ind w:left="0" w:right="0" w:firstLine="4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9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r>
              <w:rPr/>
              <w:t xml:space="preserve">Процедури отримання первинної інформації про вимоги регулювання, </w:t>
            </w:r>
            <w:r>
              <w:rPr>
                <w:lang w:val="uk-UA"/>
              </w:rPr>
              <w:t>гривень</w:t>
            </w:r>
          </w:p>
          <w:p>
            <w:pPr>
              <w:pStyle w:val="Normal"/>
              <w:textAlignment w:val="baselin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Не передбачен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Не передбачен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Не передбачен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і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10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ind w:left="0" w:right="-143" w:hanging="0"/>
              <w:textAlignment w:val="baseline"/>
              <w:rPr/>
            </w:pPr>
            <w:r>
              <w:rPr/>
              <w:t xml:space="preserve">Процедури організації виконання </w:t>
            </w:r>
            <w:r>
              <w:rPr>
                <w:lang w:val="uk-UA"/>
              </w:rPr>
              <w:t xml:space="preserve">  </w:t>
            </w:r>
            <w:r>
              <w:rPr/>
              <w:t>вимог регулювання</w:t>
            </w:r>
            <w:r>
              <w:rPr>
                <w:lang w:val="uk-UA"/>
              </w:rPr>
              <w:t xml:space="preserve">        </w:t>
            </w:r>
          </w:p>
          <w:p>
            <w:pPr>
              <w:pStyle w:val="Normal"/>
              <w:textAlignment w:val="baselin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Не передбачен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Не передбачен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Не передбачен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і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bookmarkStart w:id="7" w:name="n207"/>
      <w:bookmarkStart w:id="8" w:name="n207"/>
      <w:bookmarkEnd w:id="8"/>
    </w:p>
    <w:tbl>
      <w:tblPr>
        <w:tblW w:w="9817" w:type="dxa"/>
        <w:jc w:val="left"/>
        <w:tblInd w:w="-6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904"/>
        <w:gridCol w:w="3692"/>
        <w:gridCol w:w="1814"/>
        <w:gridCol w:w="1639"/>
        <w:gridCol w:w="1768"/>
      </w:tblGrid>
      <w:tr>
        <w:trPr>
          <w:trHeight w:val="23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11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r>
              <w:rPr/>
              <w:t>Процедури офіційного звітування</w:t>
            </w:r>
          </w:p>
          <w:p>
            <w:pPr>
              <w:pStyle w:val="Normal"/>
              <w:spacing w:lineRule="atLeast" w:line="15"/>
              <w:textAlignment w:val="baselin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Не передбачен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Не передбачен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/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ru-RU"/>
              </w:rPr>
              <w:t>Не передбачен</w:t>
            </w: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і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12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r>
              <w:rPr/>
              <w:t xml:space="preserve">Процедури щодо забезпечення процесу перевірок </w:t>
            </w:r>
            <w:r>
              <w:rPr>
                <w:lang w:val="uk-UA"/>
              </w:rPr>
              <w:t>(систематичний аналіз стічних вод щонайменше 1 раз на квартал), гривень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489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489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2445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13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textAlignment w:val="baseline"/>
              <w:rPr/>
            </w:pPr>
            <w:r>
              <w:rPr/>
              <w:t>Інші процедури :</w:t>
            </w:r>
          </w:p>
          <w:tbl>
            <w:tblPr>
              <w:tblW w:w="9628" w:type="dxa"/>
              <w:jc w:val="left"/>
              <w:tblInd w:w="4" w:type="dxa"/>
              <w:tblBorders/>
              <w:tblCellMar>
                <w:top w:w="0" w:type="dxa"/>
                <w:left w:w="2" w:type="dxa"/>
                <w:bottom w:w="0" w:type="dxa"/>
                <w:right w:w="0" w:type="dxa"/>
              </w:tblCellMar>
            </w:tblPr>
            <w:tblGrid>
              <w:gridCol w:w="9628"/>
            </w:tblGrid>
            <w:tr>
              <w:trPr/>
              <w:tc>
                <w:tcPr>
                  <w:tcW w:w="9628" w:type="dxa"/>
                  <w:tcBorders/>
                  <w:shd w:fill="FFFFFF" w:val="clear"/>
                </w:tcPr>
                <w:p>
                  <w:pPr>
                    <w:pStyle w:val="Normal"/>
                    <w:snapToGrid w:val="false"/>
                    <w:spacing w:before="0" w:after="0"/>
                    <w:textAlignment w:val="baseline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  <w:t xml:space="preserve">Витрати, пов’язані із веденням 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  <w:t xml:space="preserve">обліку, підготовкою та поданням 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  <w:t xml:space="preserve">звітності державним органам, 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  <w:t>гривень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  <w:t xml:space="preserve">Витрати, пов’язані з </w:t>
                  </w:r>
                  <w:r>
                    <w:rPr>
                      <w:lang w:val="uk-UA"/>
                    </w:rPr>
                    <w:t>адміністру-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>
                      <w:lang w:val="uk-UA"/>
                    </w:rPr>
                    <w:t>ванням</w:t>
                  </w:r>
                  <w:r>
                    <w:rPr/>
                    <w:t xml:space="preserve"> заходів </w:t>
                  </w:r>
                  <w:r>
                    <w:rPr>
                      <w:lang w:val="uk-UA"/>
                    </w:rPr>
                    <w:t xml:space="preserve">  </w:t>
                  </w:r>
                  <w:r>
                    <w:rPr/>
                    <w:t xml:space="preserve">державного 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  <w:t xml:space="preserve">нагляду (контролю) (перевірок, 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  <w:t xml:space="preserve">штрафних санкцій, виконання 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  <w:t>рішень/ приписів тощо), гривень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Витрати на проведення аналізу 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арбітражної проби, гривень</w:t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before="0" w:after="0"/>
                    <w:textAlignment w:val="baseline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передбачені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передбачені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передбачені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передбачені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передбачені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передбачені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передбачені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передбачені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передбачені</w:t>
            </w:r>
          </w:p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14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r>
              <w:rPr/>
              <w:t>Разом, гривень</w:t>
            </w:r>
          </w:p>
          <w:p>
            <w:pPr>
              <w:pStyle w:val="Normal"/>
              <w:textAlignment w:val="baselin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489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489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2445</w:t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15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textAlignment w:val="baseline"/>
              <w:rPr/>
            </w:pPr>
            <w:r>
              <w:rPr/>
              <w:t xml:space="preserve">Кількість суб’єктів </w:t>
            </w:r>
            <w:r>
              <w:rPr>
                <w:b w:val="false"/>
                <w:bCs w:val="false"/>
              </w:rPr>
              <w:t xml:space="preserve">малого </w:t>
            </w:r>
            <w:r>
              <w:rPr/>
              <w:t>підприємництва, що повинні виконати вимоги регулювання, одиниць</w:t>
            </w:r>
          </w:p>
        </w:tc>
        <w:tc>
          <w:tcPr>
            <w:tcW w:w="52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before="150"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5884</w:t>
            </w:r>
          </w:p>
          <w:p>
            <w:pPr>
              <w:pStyle w:val="Normal"/>
              <w:spacing w:before="150" w:after="150"/>
              <w:textAlignment w:val="baseline"/>
              <w:rPr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color w:val="000000"/>
                <w:sz w:val="24"/>
                <w:szCs w:val="24"/>
                <w:u w:val="none"/>
                <w:lang w:val="uk-UA"/>
              </w:rPr>
            </w:r>
          </w:p>
        </w:tc>
      </w:tr>
      <w:tr>
        <w:trPr>
          <w:trHeight w:val="23" w:hRule="atLeast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lineRule="atLeast" w:line="15" w:before="150" w:after="150"/>
              <w:jc w:val="center"/>
              <w:textAlignment w:val="baseline"/>
              <w:rPr/>
            </w:pPr>
            <w:r>
              <w:rPr/>
              <w:t>16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r>
              <w:rPr/>
              <w:t>Сумарно, гривень</w:t>
            </w:r>
          </w:p>
          <w:p>
            <w:pPr>
              <w:pStyle w:val="Normal"/>
              <w:textAlignment w:val="baselin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2877276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5" w:before="150" w:after="150"/>
              <w:jc w:val="center"/>
              <w:textAlignment w:val="baseline"/>
              <w:rPr>
                <w:b/>
                <w:b/>
                <w:i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-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14386380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ab/>
      </w:r>
      <w:r>
        <w:rPr>
          <w:b/>
          <w:bCs/>
        </w:rPr>
        <w:t>Бюджетні витрати на адміністрування регулювання суб’єктів малого підприємництва</w:t>
      </w:r>
    </w:p>
    <w:p>
      <w:pPr>
        <w:pStyle w:val="Normal"/>
        <w:ind w:left="0" w:right="0" w:firstLine="450"/>
        <w:jc w:val="both"/>
        <w:textAlignment w:val="baseline"/>
        <w:rPr/>
      </w:pPr>
      <w:r>
        <w:rPr>
          <w:color w:val="000000"/>
          <w:sz w:val="24"/>
          <w:szCs w:val="24"/>
          <w:lang w:val="uk-UA"/>
        </w:rPr>
        <w:t xml:space="preserve">Бюджетні витрати  на адміністрування регулювання суб’єктів малого підприємництва </w:t>
      </w:r>
      <w:r>
        <w:rPr>
          <w:color w:val="000000"/>
          <w:sz w:val="24"/>
          <w:szCs w:val="24"/>
          <w:lang w:val="uk-UA"/>
        </w:rPr>
        <w:t>н</w:t>
      </w:r>
      <w:r>
        <w:rPr>
          <w:color w:val="000000"/>
          <w:sz w:val="24"/>
          <w:szCs w:val="24"/>
          <w:lang w:val="uk-UA"/>
        </w:rPr>
        <w:t>е передбач</w:t>
      </w:r>
      <w:r>
        <w:rPr>
          <w:color w:val="000000"/>
          <w:sz w:val="24"/>
          <w:szCs w:val="24"/>
          <w:lang w:val="uk-UA"/>
        </w:rPr>
        <w:t>аються.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ab/>
      </w:r>
      <w:r>
        <w:rPr>
          <w:b/>
          <w:bCs/>
        </w:rPr>
        <w:t>4. Розрахунок сумарних витрат суб’єктів малого підприємництва, що виникають на виконання вимог регулювання</w:t>
      </w: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  <w:bookmarkStart w:id="9" w:name="n217"/>
      <w:bookmarkStart w:id="10" w:name="n217"/>
      <w:bookmarkEnd w:id="10"/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564"/>
        <w:gridCol w:w="3607"/>
        <w:gridCol w:w="2537"/>
        <w:gridCol w:w="2439"/>
      </w:tblGrid>
      <w:tr>
        <w:trPr/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Порядковий номер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283"/>
              <w:rPr/>
            </w:pPr>
            <w:r>
              <w:rPr/>
              <w:t xml:space="preserve">Показник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Перший рік регулювання (стартовий)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За п’ять років</w:t>
            </w:r>
          </w:p>
        </w:tc>
      </w:tr>
      <w:tr>
        <w:trPr/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8171950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  <w:lang w:val="uk-UA"/>
              </w:rPr>
              <w:t>18797250</w:t>
            </w:r>
          </w:p>
        </w:tc>
      </w:tr>
      <w:tr>
        <w:trPr/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2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2877276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50" w:after="150"/>
              <w:jc w:val="center"/>
              <w:textAlignment w:val="baseline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14386380</w:t>
            </w:r>
          </w:p>
        </w:tc>
      </w:tr>
      <w:tr>
        <w:trPr/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11049226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33183630</w:t>
            </w:r>
          </w:p>
        </w:tc>
      </w:tr>
      <w:tr>
        <w:trPr/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4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Не передбачається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Не передбачається</w:t>
            </w:r>
          </w:p>
        </w:tc>
      </w:tr>
      <w:tr>
        <w:trPr/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Сумарні витрати на виконання запланованого регулювання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11049226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283"/>
              <w:jc w:val="center"/>
              <w:rPr/>
            </w:pPr>
            <w:r>
              <w:rPr/>
              <w:t>33183630</w:t>
            </w:r>
          </w:p>
        </w:tc>
      </w:tr>
    </w:tbl>
    <w:p>
      <w:pPr>
        <w:pStyle w:val="Style15"/>
        <w:rPr/>
      </w:pPr>
      <w:r>
        <w:rPr/>
      </w:r>
    </w:p>
    <w:p>
      <w:pPr>
        <w:pStyle w:val="Style15"/>
        <w:jc w:val="both"/>
        <w:rPr/>
      </w:pPr>
      <w:r>
        <w:rPr/>
        <w:tab/>
      </w:r>
      <w:r>
        <w:rPr>
          <w:b/>
          <w:bCs/>
        </w:rPr>
        <w:t>5. Розроблення корегуючих (пом’якшувальних) заходів для малого підприємництва щодо запропонованого регулювання</w:t>
      </w:r>
    </w:p>
    <w:p>
      <w:pPr>
        <w:pStyle w:val="Style15"/>
        <w:jc w:val="both"/>
        <w:rPr/>
      </w:pPr>
      <w:r>
        <w:rPr/>
        <w:tab/>
      </w:r>
      <w:r>
        <w:rPr/>
        <w:t>З метою зменшення часу, необхідного для ознайомлення з актом, документ (після його затвердження) буде розміщено у вільному доступі на офіційному веб-сайті МКП “Миколаївводоканал”.</w:t>
      </w:r>
    </w:p>
    <w:p>
      <w:pPr>
        <w:pStyle w:val="Style15"/>
        <w:jc w:val="both"/>
        <w:rPr/>
      </w:pPr>
      <w:r>
        <w:rPr/>
        <w:tab/>
      </w:r>
      <w:r>
        <w:rPr/>
        <w:t>Це дозволить скоротити час, необхідний для ознайомлення суб'єктів господарювання з актом орієнтовно на 10%, що в свою чергу скоротить витрати малого підприємництва.</w:t>
      </w:r>
    </w:p>
    <w:p>
      <w:pPr>
        <w:pStyle w:val="Style15"/>
        <w:jc w:val="both"/>
        <w:rPr/>
      </w:pPr>
      <w:r>
        <w:rPr/>
      </w:r>
    </w:p>
    <w:p>
      <w:pPr>
        <w:pStyle w:val="Style15"/>
        <w:jc w:val="both"/>
        <w:rPr/>
      </w:pPr>
      <w:r>
        <w:rPr/>
      </w:r>
    </w:p>
    <w:p>
      <w:pPr>
        <w:pStyle w:val="Style15"/>
        <w:jc w:val="both"/>
        <w:rPr/>
      </w:pPr>
      <w:r>
        <w:rPr/>
        <w:t>Генеральний директор МКП “Миколаївводоканал”                                            Б.Л.Дуденко</w:t>
      </w:r>
    </w:p>
    <w:p>
      <w:pPr>
        <w:pStyle w:val="Style15"/>
        <w:jc w:val="both"/>
        <w:rPr/>
      </w:pPr>
      <w:r>
        <w:rPr/>
      </w:r>
    </w:p>
    <w:p>
      <w:pPr>
        <w:pStyle w:val="Style15"/>
        <w:spacing w:lineRule="auto" w:line="276" w:before="0" w:after="140"/>
        <w:ind w:left="0" w:right="0" w:firstLine="737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25" w:right="734" w:header="0" w:top="680" w:footer="0" w:bottom="68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24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253</TotalTime>
  <Application>LibreOffice/6.0.3.2$Linux_X86_64 LibreOffice_project/00m0$Build-2</Application>
  <Pages>4</Pages>
  <Words>711</Words>
  <Characters>5036</Characters>
  <CharactersWithSpaces>5771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2018-08-15T10:44:57Z</dcterms:created>
  <dc:creator/>
  <dc:description/>
  <dc:language>ru-RU</dc:language>
  <cp:lastModifiedBy/>
  <dcterms:modified xsi:type="dcterms:W3CDTF">2018-08-16T14:59:45Z</dcterms:modified>
  <cp:revision>4</cp:revision>
  <dc:subject/>
  <dc:title/>
</cp:coreProperties>
</file>