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66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7704B1">
      <w:pPr>
        <w:spacing w:after="0"/>
        <w:ind w:left="7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510366" w:rsidRDefault="0061408B" w:rsidP="007704B1">
      <w:pPr>
        <w:spacing w:after="0"/>
        <w:ind w:left="7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10366">
        <w:rPr>
          <w:rFonts w:ascii="Times New Roman" w:hAnsi="Times New Roman" w:cs="Times New Roman"/>
          <w:sz w:val="28"/>
          <w:szCs w:val="28"/>
        </w:rPr>
        <w:t>ішення міської ради</w:t>
      </w:r>
    </w:p>
    <w:p w:rsidR="00510366" w:rsidRDefault="00510366" w:rsidP="007704B1">
      <w:pPr>
        <w:spacing w:after="0"/>
        <w:ind w:left="7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_______________</w:t>
      </w:r>
    </w:p>
    <w:p w:rsidR="00510366" w:rsidRPr="00400E66" w:rsidRDefault="00510366" w:rsidP="007704B1">
      <w:pPr>
        <w:spacing w:after="0"/>
        <w:ind w:left="70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510366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Pr="0061408B" w:rsidRDefault="00510366" w:rsidP="006140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1408B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</w:p>
    <w:p w:rsidR="00510366" w:rsidRPr="00F85FB3" w:rsidRDefault="00510366" w:rsidP="006140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5FB3">
        <w:rPr>
          <w:rFonts w:ascii="Times New Roman" w:hAnsi="Times New Roman" w:cs="Times New Roman"/>
          <w:sz w:val="28"/>
          <w:szCs w:val="28"/>
          <w:lang w:val="ru-RU"/>
        </w:rPr>
        <w:t>РОЗВИТКУ КОМУНАЛЬНОГО АВТОБУСНОГО</w:t>
      </w:r>
    </w:p>
    <w:p w:rsidR="00510366" w:rsidRDefault="00510366" w:rsidP="006140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5FB3">
        <w:rPr>
          <w:rFonts w:ascii="Times New Roman" w:hAnsi="Times New Roman" w:cs="Times New Roman"/>
          <w:sz w:val="28"/>
          <w:szCs w:val="28"/>
          <w:lang w:val="ru-RU"/>
        </w:rPr>
        <w:t xml:space="preserve">ТРАНСПОРТУ МІСТА МИКОЛАЄВА </w:t>
      </w:r>
    </w:p>
    <w:p w:rsidR="00510366" w:rsidRPr="00B421D3" w:rsidRDefault="00510366" w:rsidP="00614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2020-2023</w:t>
      </w:r>
      <w:r w:rsidR="00614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1408B">
        <w:rPr>
          <w:rFonts w:ascii="Times New Roman" w:hAnsi="Times New Roman" w:cs="Times New Roman"/>
          <w:sz w:val="28"/>
          <w:szCs w:val="28"/>
        </w:rPr>
        <w:t>оки</w:t>
      </w:r>
    </w:p>
    <w:p w:rsidR="00510366" w:rsidRPr="00B421D3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Pr="00B421D3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Pr="00B421D3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Pr="00B421D3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Pr="00B421D3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Pr="00B421D3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Pr="00B421D3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Pr="00B421D3" w:rsidRDefault="00510366" w:rsidP="00423E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tabs>
          <w:tab w:val="left" w:pos="4721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tabs>
          <w:tab w:val="left" w:pos="4721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tabs>
          <w:tab w:val="left" w:pos="4721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tabs>
          <w:tab w:val="left" w:pos="4721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tabs>
          <w:tab w:val="left" w:pos="4721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tabs>
          <w:tab w:val="left" w:pos="4721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tabs>
          <w:tab w:val="left" w:pos="4721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tabs>
          <w:tab w:val="left" w:pos="4721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tabs>
          <w:tab w:val="left" w:pos="4721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10366" w:rsidRDefault="00510366" w:rsidP="00423EC7">
      <w:pPr>
        <w:tabs>
          <w:tab w:val="left" w:pos="4721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354D69" w:rsidRDefault="00354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0366" w:rsidRPr="00865041" w:rsidRDefault="00510366" w:rsidP="00906AB6">
      <w:pPr>
        <w:tabs>
          <w:tab w:val="left" w:pos="25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lastRenderedPageBreak/>
        <w:t>ВСТУП</w:t>
      </w:r>
    </w:p>
    <w:p w:rsidR="00510366" w:rsidRPr="00865041" w:rsidRDefault="00510366" w:rsidP="00865041">
      <w:pPr>
        <w:tabs>
          <w:tab w:val="left" w:pos="25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>Автомобільний міський пасажирський транспорт загального користування міста Миколаєва у цілому задовольняє потреби населення та суспільного виробництва в автомобільних перевезеннях.</w:t>
      </w:r>
    </w:p>
    <w:p w:rsidR="00510366" w:rsidRPr="007704B1" w:rsidRDefault="00510366" w:rsidP="00865041">
      <w:pPr>
        <w:tabs>
          <w:tab w:val="left" w:pos="257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 w:rsidRPr="007704B1">
        <w:rPr>
          <w:rFonts w:ascii="Times New Roman" w:hAnsi="Times New Roman" w:cs="Times New Roman"/>
          <w:spacing w:val="-4"/>
          <w:sz w:val="28"/>
          <w:szCs w:val="24"/>
        </w:rPr>
        <w:t>Соціально значущими послугами автомобільного транспорту загального користування є послуги з перевезення пасажирів автобусними маршрутами загального користування за визначеними маршрутами уповноваженими органами тарифами та на пільгових умовах відповідно з чинним законодавством.</w:t>
      </w:r>
    </w:p>
    <w:p w:rsidR="00510366" w:rsidRDefault="00510366" w:rsidP="00865041">
      <w:pPr>
        <w:tabs>
          <w:tab w:val="left" w:pos="25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>Основну частку пасажирських перевезень автомобільним транспортом, за результатами проведених виконавчим комітетом</w:t>
      </w:r>
      <w:r w:rsidR="00906AB6">
        <w:rPr>
          <w:rFonts w:ascii="Times New Roman" w:hAnsi="Times New Roman" w:cs="Times New Roman"/>
          <w:sz w:val="28"/>
          <w:szCs w:val="24"/>
        </w:rPr>
        <w:t xml:space="preserve"> Миколаївської</w:t>
      </w:r>
      <w:r w:rsidRPr="00865041">
        <w:rPr>
          <w:rFonts w:ascii="Times New Roman" w:hAnsi="Times New Roman" w:cs="Times New Roman"/>
          <w:sz w:val="28"/>
          <w:szCs w:val="24"/>
        </w:rPr>
        <w:t xml:space="preserve"> міської ради конкурсів, виконують приватні перевізники.</w:t>
      </w:r>
    </w:p>
    <w:p w:rsidR="00906AB6" w:rsidRPr="007704B1" w:rsidRDefault="00906AB6" w:rsidP="00865041">
      <w:pPr>
        <w:tabs>
          <w:tab w:val="left" w:pos="25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0366" w:rsidRPr="00906AB6" w:rsidRDefault="00510366" w:rsidP="0084282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4"/>
        </w:rPr>
      </w:pPr>
      <w:r w:rsidRPr="00906AB6">
        <w:rPr>
          <w:rFonts w:ascii="Times New Roman" w:hAnsi="Times New Roman" w:cs="Times New Roman"/>
          <w:sz w:val="28"/>
          <w:szCs w:val="24"/>
        </w:rPr>
        <w:t>Загальні положення</w:t>
      </w:r>
    </w:p>
    <w:p w:rsidR="00906AB6" w:rsidRPr="007704B1" w:rsidRDefault="00906AB6" w:rsidP="00865041">
      <w:pPr>
        <w:pStyle w:val="a3"/>
        <w:tabs>
          <w:tab w:val="left" w:pos="225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510366" w:rsidRPr="00865041" w:rsidRDefault="00510366" w:rsidP="00865041">
      <w:pPr>
        <w:pStyle w:val="a3"/>
        <w:tabs>
          <w:tab w:val="left" w:pos="225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>Автомобільний пасажирський транспорт загального користування – важлива складова частина виробничої інфраструктури міста, яка забезпечує життєдіяльність суспільства у виробничій і невиробнич</w:t>
      </w:r>
      <w:r w:rsidR="00906AB6">
        <w:rPr>
          <w:rFonts w:ascii="Times New Roman" w:hAnsi="Times New Roman" w:cs="Times New Roman"/>
          <w:sz w:val="28"/>
          <w:szCs w:val="24"/>
        </w:rPr>
        <w:t>ій</w:t>
      </w:r>
      <w:r w:rsidRPr="00865041">
        <w:rPr>
          <w:rFonts w:ascii="Times New Roman" w:hAnsi="Times New Roman" w:cs="Times New Roman"/>
          <w:sz w:val="28"/>
          <w:szCs w:val="24"/>
        </w:rPr>
        <w:t xml:space="preserve"> сферах.</w:t>
      </w:r>
    </w:p>
    <w:p w:rsidR="00510366" w:rsidRPr="00865041" w:rsidRDefault="00510366" w:rsidP="00865041">
      <w:pPr>
        <w:pStyle w:val="a3"/>
        <w:tabs>
          <w:tab w:val="left" w:pos="225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>Основні положення Програми направлені на розвиток пасажирських перевезень у місті, підвищення їх якості, задоволення потреб мешканців міста у загальних та пільгових перевезеннях.</w:t>
      </w:r>
    </w:p>
    <w:p w:rsidR="00510366" w:rsidRPr="00865041" w:rsidRDefault="00510366" w:rsidP="00865041">
      <w:pPr>
        <w:pStyle w:val="a3"/>
        <w:tabs>
          <w:tab w:val="left" w:pos="225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>Організація перевезення пасажирів на міських автобусних маршрутах загального користування здійснюється виконавчим комітетом Миколаївської міської ради.</w:t>
      </w:r>
    </w:p>
    <w:p w:rsidR="00510366" w:rsidRPr="00865041" w:rsidRDefault="00510366" w:rsidP="00865041">
      <w:pPr>
        <w:pStyle w:val="a3"/>
        <w:tabs>
          <w:tab w:val="left" w:pos="225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>Органи виконавчої влади та органи місцевого самоврядування в межах своїх повноважень сприяють створенню сталих умов роботи міського автомобільного транспорту загального користування. Його стійке і ефективне функціонування є необхідною умовою стабілізації економіки, покращ</w:t>
      </w:r>
      <w:r w:rsidR="00906AB6">
        <w:rPr>
          <w:rFonts w:ascii="Times New Roman" w:hAnsi="Times New Roman" w:cs="Times New Roman"/>
          <w:sz w:val="28"/>
          <w:szCs w:val="24"/>
        </w:rPr>
        <w:t>а</w:t>
      </w:r>
      <w:r w:rsidRPr="00865041">
        <w:rPr>
          <w:rFonts w:ascii="Times New Roman" w:hAnsi="Times New Roman" w:cs="Times New Roman"/>
          <w:sz w:val="28"/>
          <w:szCs w:val="24"/>
        </w:rPr>
        <w:t>ння умов рівня життя та соціального добробуту населення.</w:t>
      </w:r>
    </w:p>
    <w:p w:rsidR="00510366" w:rsidRPr="00865041" w:rsidRDefault="00510366" w:rsidP="00865041">
      <w:pPr>
        <w:pStyle w:val="a3"/>
        <w:tabs>
          <w:tab w:val="left" w:pos="225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>З метою забезпечення потреб мешканців міста в наданні якісних послуг у сфері пасажирських перевезень транспортом загального користування та розв’язання соціально важливих проблем перевезення пільгової категорії населення в місті Миколаєві розроблено Програму розвитку комунального автобусного транспорту міста Миколаєва на 2020-2023 роки (далі – Програма).</w:t>
      </w:r>
    </w:p>
    <w:p w:rsidR="00510366" w:rsidRPr="00865041" w:rsidRDefault="00510366" w:rsidP="00865041">
      <w:pPr>
        <w:pStyle w:val="a3"/>
        <w:tabs>
          <w:tab w:val="left" w:pos="225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>Програму розроблено на підставі Закону України «Про місцеве самоврядування в Україні», Бюджетного кодексу України, Законів України «Про автомобільний транспорт» та «Про засади державної регуляторної політики у сфері господарської діяльності», постанови Кабінету Міністрів України від 18</w:t>
      </w:r>
      <w:r w:rsidR="00906AB6">
        <w:rPr>
          <w:rFonts w:ascii="Times New Roman" w:hAnsi="Times New Roman" w:cs="Times New Roman"/>
          <w:sz w:val="28"/>
          <w:szCs w:val="24"/>
        </w:rPr>
        <w:t>.02.</w:t>
      </w:r>
      <w:r w:rsidRPr="00865041">
        <w:rPr>
          <w:rFonts w:ascii="Times New Roman" w:hAnsi="Times New Roman" w:cs="Times New Roman"/>
          <w:sz w:val="28"/>
          <w:szCs w:val="24"/>
        </w:rPr>
        <w:t>1997 № 176 «Про затвердження Правил надання послуг пасажирського автомобільного транспорту».</w:t>
      </w:r>
    </w:p>
    <w:p w:rsidR="00510366" w:rsidRDefault="00510366" w:rsidP="00865041">
      <w:pPr>
        <w:pStyle w:val="a3"/>
        <w:tabs>
          <w:tab w:val="left" w:pos="225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>У Програмі визначаються шляхи розв’язання проблем подальшого розвитку перевезень пасажирів міським автомобільним транспортом, виходячи з нових завдань, що постали перед міським транспортом в умовах відновлення реального сектору економіки.</w:t>
      </w:r>
    </w:p>
    <w:p w:rsidR="00906AB6" w:rsidRPr="007704B1" w:rsidRDefault="00906AB6" w:rsidP="00865041">
      <w:pPr>
        <w:pStyle w:val="a3"/>
        <w:tabs>
          <w:tab w:val="left" w:pos="225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510366" w:rsidRPr="00906AB6" w:rsidRDefault="00510366" w:rsidP="00906AB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4"/>
        </w:rPr>
      </w:pPr>
      <w:r w:rsidRPr="00906AB6">
        <w:rPr>
          <w:rFonts w:ascii="Times New Roman" w:hAnsi="Times New Roman" w:cs="Times New Roman"/>
          <w:sz w:val="28"/>
          <w:szCs w:val="24"/>
        </w:rPr>
        <w:t>Проблемні питання в сфері пасажирських перевезень на автотранспорті в місті Миколаєві</w:t>
      </w:r>
      <w:r w:rsidR="00906AB6" w:rsidRPr="00906AB6">
        <w:rPr>
          <w:rFonts w:ascii="Times New Roman" w:hAnsi="Times New Roman" w:cs="Times New Roman"/>
          <w:sz w:val="28"/>
          <w:szCs w:val="24"/>
        </w:rPr>
        <w:t>,</w:t>
      </w:r>
      <w:r w:rsidRPr="00906AB6">
        <w:rPr>
          <w:rFonts w:ascii="Times New Roman" w:hAnsi="Times New Roman" w:cs="Times New Roman"/>
          <w:sz w:val="28"/>
          <w:szCs w:val="24"/>
        </w:rPr>
        <w:t xml:space="preserve"> на розв’язання яких спрямована Програма</w:t>
      </w:r>
    </w:p>
    <w:p w:rsidR="00906AB6" w:rsidRPr="007704B1" w:rsidRDefault="00906AB6" w:rsidP="00865041">
      <w:pPr>
        <w:pStyle w:val="a3"/>
        <w:tabs>
          <w:tab w:val="left" w:pos="225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510366" w:rsidRPr="00865041" w:rsidRDefault="00510366" w:rsidP="00865041">
      <w:pPr>
        <w:pStyle w:val="a3"/>
        <w:tabs>
          <w:tab w:val="left" w:pos="225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 xml:space="preserve">Основними проблемними питаннями </w:t>
      </w:r>
      <w:r w:rsidR="00906AB6">
        <w:rPr>
          <w:rFonts w:ascii="Times New Roman" w:hAnsi="Times New Roman" w:cs="Times New Roman"/>
          <w:sz w:val="28"/>
          <w:szCs w:val="24"/>
        </w:rPr>
        <w:t>у</w:t>
      </w:r>
      <w:r w:rsidRPr="00865041">
        <w:rPr>
          <w:rFonts w:ascii="Times New Roman" w:hAnsi="Times New Roman" w:cs="Times New Roman"/>
          <w:sz w:val="28"/>
          <w:szCs w:val="24"/>
        </w:rPr>
        <w:t xml:space="preserve"> сфері пасажирських перевезень на автотранспорті міста Миколаєва є</w:t>
      </w:r>
      <w:r w:rsidR="00906AB6">
        <w:rPr>
          <w:rFonts w:ascii="Times New Roman" w:hAnsi="Times New Roman" w:cs="Times New Roman"/>
          <w:sz w:val="28"/>
          <w:szCs w:val="24"/>
        </w:rPr>
        <w:t xml:space="preserve"> наступне.</w:t>
      </w:r>
    </w:p>
    <w:p w:rsidR="009A7E96" w:rsidRPr="00865041" w:rsidRDefault="009A7E96" w:rsidP="00865041">
      <w:pPr>
        <w:pStyle w:val="a3"/>
        <w:tabs>
          <w:tab w:val="left" w:pos="225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>Структура парку автобусів є недосконалою. Більшість транспортних засобів не відповіда</w:t>
      </w:r>
      <w:r w:rsidR="003F4E78">
        <w:rPr>
          <w:rFonts w:ascii="Times New Roman" w:hAnsi="Times New Roman" w:cs="Times New Roman"/>
          <w:sz w:val="28"/>
          <w:szCs w:val="24"/>
        </w:rPr>
        <w:t>є</w:t>
      </w:r>
      <w:r w:rsidRPr="00865041">
        <w:rPr>
          <w:rFonts w:ascii="Times New Roman" w:hAnsi="Times New Roman" w:cs="Times New Roman"/>
          <w:sz w:val="28"/>
          <w:szCs w:val="24"/>
        </w:rPr>
        <w:t xml:space="preserve"> сучасним вимогам, майже 90% рухомого складу є технічно і морально застарілими. Майже 85% рухомого складу приватних перевізників</w:t>
      </w:r>
      <w:r w:rsidR="003F4E78">
        <w:rPr>
          <w:rFonts w:ascii="Times New Roman" w:hAnsi="Times New Roman" w:cs="Times New Roman"/>
          <w:sz w:val="28"/>
          <w:szCs w:val="24"/>
        </w:rPr>
        <w:t xml:space="preserve"> –</w:t>
      </w:r>
      <w:r w:rsidRPr="00865041">
        <w:rPr>
          <w:rFonts w:ascii="Times New Roman" w:hAnsi="Times New Roman" w:cs="Times New Roman"/>
          <w:sz w:val="28"/>
          <w:szCs w:val="24"/>
        </w:rPr>
        <w:t xml:space="preserve"> це автобуси місткістю не більше 22 пасажирів, що експлуатуються більше ніж 10 років.</w:t>
      </w:r>
    </w:p>
    <w:p w:rsidR="00510366" w:rsidRPr="00865041" w:rsidRDefault="00510366" w:rsidP="00865041">
      <w:pPr>
        <w:pStyle w:val="a3"/>
        <w:tabs>
          <w:tab w:val="left" w:pos="225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 xml:space="preserve">Відсутність достатньої кількості сучасних великогабаритних, зокрема низько </w:t>
      </w:r>
      <w:proofErr w:type="spellStart"/>
      <w:r w:rsidRPr="00865041">
        <w:rPr>
          <w:rFonts w:ascii="Times New Roman" w:hAnsi="Times New Roman" w:cs="Times New Roman"/>
          <w:sz w:val="28"/>
          <w:szCs w:val="24"/>
          <w:lang w:val="ru-RU"/>
        </w:rPr>
        <w:t>підлогових</w:t>
      </w:r>
      <w:proofErr w:type="spellEnd"/>
      <w:r w:rsidRPr="00865041">
        <w:rPr>
          <w:rFonts w:ascii="Times New Roman" w:hAnsi="Times New Roman" w:cs="Times New Roman"/>
          <w:sz w:val="28"/>
          <w:szCs w:val="24"/>
        </w:rPr>
        <w:t>, транспортних засобів для задоволення потреб споживачів транспортних послуг, в т.ч. з обмеженими можливостями, що проживають у віддалених районах міста.</w:t>
      </w:r>
    </w:p>
    <w:p w:rsidR="00510366" w:rsidRPr="00865041" w:rsidRDefault="00510366" w:rsidP="00865041">
      <w:pPr>
        <w:pStyle w:val="a3"/>
        <w:tabs>
          <w:tab w:val="left" w:pos="225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>Проблемними залишаються питання у модернізації господарства в автотранспортному депо комунального підприємства, а саме відсутність власного заправного комплексу, мийного комплексу та будівель і допоміжних споруд, що підлягають використанню із розширенням автобусного парку.</w:t>
      </w:r>
    </w:p>
    <w:p w:rsidR="00510366" w:rsidRPr="00865041" w:rsidRDefault="00510366" w:rsidP="00865041">
      <w:pPr>
        <w:pStyle w:val="a3"/>
        <w:tabs>
          <w:tab w:val="left" w:pos="225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 xml:space="preserve">Нестабільні показники </w:t>
      </w:r>
      <w:proofErr w:type="spellStart"/>
      <w:r w:rsidRPr="00865041">
        <w:rPr>
          <w:rFonts w:ascii="Times New Roman" w:hAnsi="Times New Roman" w:cs="Times New Roman"/>
          <w:sz w:val="28"/>
          <w:szCs w:val="24"/>
        </w:rPr>
        <w:t>графікованості</w:t>
      </w:r>
      <w:proofErr w:type="spellEnd"/>
      <w:r w:rsidRPr="00865041">
        <w:rPr>
          <w:rFonts w:ascii="Times New Roman" w:hAnsi="Times New Roman" w:cs="Times New Roman"/>
          <w:sz w:val="28"/>
          <w:szCs w:val="24"/>
        </w:rPr>
        <w:t xml:space="preserve"> приватних перевізників на відміну від муніципального комунального транспорту.</w:t>
      </w:r>
    </w:p>
    <w:p w:rsidR="00C462DD" w:rsidRDefault="00510366" w:rsidP="00865041">
      <w:pPr>
        <w:pStyle w:val="a3"/>
        <w:tabs>
          <w:tab w:val="left" w:pos="225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 xml:space="preserve">Як наслідок, розвиватиметься практично необоротний процес заміни громадського транспорту особистими автомобілями, що призведе до загострення екологічних проблем, росту втрат від дорожньо-транспортних пригод, нестачі </w:t>
      </w:r>
      <w:proofErr w:type="spellStart"/>
      <w:r w:rsidRPr="00865041">
        <w:rPr>
          <w:rFonts w:ascii="Times New Roman" w:hAnsi="Times New Roman" w:cs="Times New Roman"/>
          <w:sz w:val="28"/>
          <w:szCs w:val="24"/>
        </w:rPr>
        <w:t>вулично</w:t>
      </w:r>
      <w:proofErr w:type="spellEnd"/>
      <w:r w:rsidRPr="00865041">
        <w:rPr>
          <w:rFonts w:ascii="Times New Roman" w:hAnsi="Times New Roman" w:cs="Times New Roman"/>
          <w:sz w:val="28"/>
          <w:szCs w:val="24"/>
        </w:rPr>
        <w:t>-шляхової мережі.</w:t>
      </w:r>
    </w:p>
    <w:p w:rsidR="00F33318" w:rsidRPr="00865041" w:rsidRDefault="00F33318" w:rsidP="00865041">
      <w:pPr>
        <w:pStyle w:val="a3"/>
        <w:tabs>
          <w:tab w:val="left" w:pos="225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</w:p>
    <w:p w:rsidR="00423EC7" w:rsidRPr="00F33318" w:rsidRDefault="00423EC7" w:rsidP="0084282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4"/>
        </w:rPr>
      </w:pPr>
      <w:r w:rsidRPr="00F33318">
        <w:rPr>
          <w:rFonts w:ascii="Times New Roman" w:hAnsi="Times New Roman" w:cs="Times New Roman"/>
          <w:sz w:val="28"/>
          <w:szCs w:val="24"/>
        </w:rPr>
        <w:t>Мета і завдання Програми</w:t>
      </w:r>
    </w:p>
    <w:p w:rsidR="00F33318" w:rsidRDefault="00F33318" w:rsidP="00865041">
      <w:pPr>
        <w:tabs>
          <w:tab w:val="left" w:pos="22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23EC7" w:rsidRDefault="00423EC7" w:rsidP="00865041">
      <w:pPr>
        <w:tabs>
          <w:tab w:val="left" w:pos="22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>Метою Програми є створення належних умов для надання населенню міста доступних і якісних послуг з перевезення пасажирів, підвищення ефективності та надійності функціонування громадського транспорту відповідно до чинного законодавства.</w:t>
      </w:r>
    </w:p>
    <w:p w:rsidR="00F33318" w:rsidRPr="00865041" w:rsidRDefault="00F33318" w:rsidP="00865041">
      <w:pPr>
        <w:tabs>
          <w:tab w:val="left" w:pos="22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10366" w:rsidRPr="00F33318" w:rsidRDefault="00510366" w:rsidP="00F33318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4"/>
        </w:rPr>
      </w:pPr>
      <w:r w:rsidRPr="00F33318">
        <w:rPr>
          <w:rFonts w:ascii="Times New Roman" w:hAnsi="Times New Roman" w:cs="Times New Roman"/>
          <w:sz w:val="28"/>
          <w:szCs w:val="24"/>
        </w:rPr>
        <w:t>Обґрунтування шляхів і засобів розв’язання проблеми,</w:t>
      </w:r>
      <w:r w:rsidR="00F33318" w:rsidRPr="00F33318">
        <w:rPr>
          <w:rFonts w:ascii="Times New Roman" w:hAnsi="Times New Roman" w:cs="Times New Roman"/>
          <w:sz w:val="28"/>
          <w:szCs w:val="24"/>
        </w:rPr>
        <w:t xml:space="preserve"> </w:t>
      </w:r>
      <w:r w:rsidRPr="00F33318">
        <w:rPr>
          <w:rFonts w:ascii="Times New Roman" w:hAnsi="Times New Roman" w:cs="Times New Roman"/>
          <w:sz w:val="28"/>
          <w:szCs w:val="24"/>
        </w:rPr>
        <w:t>обсягів та джерел фінансування, строки та етапи виконання Програми</w:t>
      </w:r>
    </w:p>
    <w:p w:rsidR="00F33318" w:rsidRDefault="00F33318" w:rsidP="0086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23EC7" w:rsidRPr="00865041" w:rsidRDefault="00463536" w:rsidP="0086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>Досягнення визначеної мети Програми можливе шляхом</w:t>
      </w:r>
      <w:r w:rsidR="008D1C26">
        <w:rPr>
          <w:rFonts w:ascii="Times New Roman" w:hAnsi="Times New Roman" w:cs="Times New Roman"/>
          <w:sz w:val="28"/>
          <w:szCs w:val="24"/>
        </w:rPr>
        <w:t xml:space="preserve"> п</w:t>
      </w:r>
      <w:r w:rsidR="00851C64" w:rsidRPr="00865041">
        <w:rPr>
          <w:rFonts w:ascii="Times New Roman" w:hAnsi="Times New Roman" w:cs="Times New Roman"/>
          <w:sz w:val="28"/>
          <w:szCs w:val="24"/>
        </w:rPr>
        <w:t xml:space="preserve">ридбання </w:t>
      </w:r>
      <w:r w:rsidRPr="00865041">
        <w:rPr>
          <w:rFonts w:ascii="Times New Roman" w:hAnsi="Times New Roman" w:cs="Times New Roman"/>
          <w:sz w:val="28"/>
          <w:szCs w:val="24"/>
        </w:rPr>
        <w:t>нового рухомого складу (автобусів) у кількості 50 одиниць,</w:t>
      </w:r>
      <w:r w:rsidR="008D1C26">
        <w:rPr>
          <w:rFonts w:ascii="Times New Roman" w:hAnsi="Times New Roman" w:cs="Times New Roman"/>
          <w:sz w:val="28"/>
          <w:szCs w:val="24"/>
        </w:rPr>
        <w:t xml:space="preserve"> </w:t>
      </w:r>
      <w:r w:rsidRPr="00865041">
        <w:rPr>
          <w:rFonts w:ascii="Times New Roman" w:hAnsi="Times New Roman" w:cs="Times New Roman"/>
          <w:sz w:val="28"/>
          <w:szCs w:val="24"/>
        </w:rPr>
        <w:t>з</w:t>
      </w:r>
      <w:r w:rsidR="00542355" w:rsidRPr="00865041">
        <w:rPr>
          <w:rFonts w:ascii="Times New Roman" w:hAnsi="Times New Roman" w:cs="Times New Roman"/>
          <w:sz w:val="28"/>
          <w:szCs w:val="24"/>
        </w:rPr>
        <w:t>гідно</w:t>
      </w:r>
      <w:r w:rsidR="008D1C26">
        <w:rPr>
          <w:rFonts w:ascii="Times New Roman" w:hAnsi="Times New Roman" w:cs="Times New Roman"/>
          <w:sz w:val="28"/>
          <w:szCs w:val="24"/>
        </w:rPr>
        <w:t xml:space="preserve"> з</w:t>
      </w:r>
      <w:r w:rsidR="00542355" w:rsidRPr="00865041">
        <w:rPr>
          <w:rFonts w:ascii="Times New Roman" w:hAnsi="Times New Roman" w:cs="Times New Roman"/>
          <w:sz w:val="28"/>
          <w:szCs w:val="24"/>
        </w:rPr>
        <w:t xml:space="preserve"> Наказ</w:t>
      </w:r>
      <w:r w:rsidR="008D1C26">
        <w:rPr>
          <w:rFonts w:ascii="Times New Roman" w:hAnsi="Times New Roman" w:cs="Times New Roman"/>
          <w:sz w:val="28"/>
          <w:szCs w:val="24"/>
        </w:rPr>
        <w:t>ом</w:t>
      </w:r>
      <w:r w:rsidR="00542355" w:rsidRPr="00865041">
        <w:rPr>
          <w:rFonts w:ascii="Times New Roman" w:hAnsi="Times New Roman" w:cs="Times New Roman"/>
          <w:sz w:val="28"/>
          <w:szCs w:val="24"/>
        </w:rPr>
        <w:t xml:space="preserve"> Міністерства фінансів України від 29.05.2020 №251 запозичення до бюджету розвитку міста Миколаєва у тому числі у 2020 році, планується здійснити шляхом укладання угоди про передачу коштів позики між Міністерством фінансів України</w:t>
      </w:r>
      <w:r w:rsidR="00960F25" w:rsidRPr="00865041">
        <w:rPr>
          <w:rFonts w:ascii="Times New Roman" w:hAnsi="Times New Roman" w:cs="Times New Roman"/>
          <w:sz w:val="28"/>
          <w:szCs w:val="24"/>
        </w:rPr>
        <w:t>, Міністерством інфраструктури України та Миколаївською міською радою відповідно до умов Фінансової угоди (</w:t>
      </w:r>
      <w:proofErr w:type="spellStart"/>
      <w:r w:rsidR="00960F25" w:rsidRPr="00865041">
        <w:rPr>
          <w:rFonts w:ascii="Times New Roman" w:hAnsi="Times New Roman" w:cs="Times New Roman"/>
          <w:sz w:val="28"/>
          <w:szCs w:val="24"/>
        </w:rPr>
        <w:t>проєкт</w:t>
      </w:r>
      <w:proofErr w:type="spellEnd"/>
      <w:r w:rsidR="00960F25" w:rsidRPr="00865041">
        <w:rPr>
          <w:rFonts w:ascii="Times New Roman" w:hAnsi="Times New Roman" w:cs="Times New Roman"/>
          <w:sz w:val="28"/>
          <w:szCs w:val="24"/>
        </w:rPr>
        <w:t xml:space="preserve"> «Міський громадський транспорт України») між Україною та Європейським інвестиційним банком, укладеної 11</w:t>
      </w:r>
      <w:r w:rsidR="008D1C26">
        <w:rPr>
          <w:rFonts w:ascii="Times New Roman" w:hAnsi="Times New Roman" w:cs="Times New Roman"/>
          <w:sz w:val="28"/>
          <w:szCs w:val="24"/>
        </w:rPr>
        <w:t>.11.</w:t>
      </w:r>
      <w:r w:rsidR="00960F25" w:rsidRPr="00865041">
        <w:rPr>
          <w:rFonts w:ascii="Times New Roman" w:hAnsi="Times New Roman" w:cs="Times New Roman"/>
          <w:sz w:val="28"/>
          <w:szCs w:val="24"/>
        </w:rPr>
        <w:t>2016</w:t>
      </w:r>
      <w:r w:rsidR="008D1C26">
        <w:rPr>
          <w:rFonts w:ascii="Times New Roman" w:hAnsi="Times New Roman" w:cs="Times New Roman"/>
          <w:sz w:val="28"/>
          <w:szCs w:val="24"/>
        </w:rPr>
        <w:t>,</w:t>
      </w:r>
      <w:r w:rsidR="00960F25" w:rsidRPr="00865041">
        <w:rPr>
          <w:rFonts w:ascii="Times New Roman" w:hAnsi="Times New Roman" w:cs="Times New Roman"/>
          <w:sz w:val="28"/>
          <w:szCs w:val="24"/>
        </w:rPr>
        <w:t xml:space="preserve"> ратифікованої Законом України від 12</w:t>
      </w:r>
      <w:r w:rsidR="008D1C26">
        <w:rPr>
          <w:rFonts w:ascii="Times New Roman" w:hAnsi="Times New Roman" w:cs="Times New Roman"/>
          <w:sz w:val="28"/>
          <w:szCs w:val="24"/>
        </w:rPr>
        <w:t>.04.</w:t>
      </w:r>
      <w:r w:rsidR="00960F25" w:rsidRPr="00865041">
        <w:rPr>
          <w:rFonts w:ascii="Times New Roman" w:hAnsi="Times New Roman" w:cs="Times New Roman"/>
          <w:sz w:val="28"/>
          <w:szCs w:val="24"/>
        </w:rPr>
        <w:t>2017 №2009-</w:t>
      </w:r>
      <w:r w:rsidR="00960F25" w:rsidRPr="00865041"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960F25" w:rsidRPr="00865041">
        <w:rPr>
          <w:rFonts w:ascii="Times New Roman" w:hAnsi="Times New Roman" w:cs="Times New Roman"/>
          <w:sz w:val="28"/>
          <w:szCs w:val="24"/>
        </w:rPr>
        <w:t>ІІІ на умовах: розмір позики 4</w:t>
      </w:r>
      <w:r w:rsidR="00851C64" w:rsidRPr="00865041">
        <w:rPr>
          <w:rFonts w:ascii="Times New Roman" w:hAnsi="Times New Roman" w:cs="Times New Roman"/>
          <w:sz w:val="28"/>
          <w:szCs w:val="24"/>
        </w:rPr>
        <w:t> </w:t>
      </w:r>
      <w:r w:rsidR="00960F25" w:rsidRPr="00865041">
        <w:rPr>
          <w:rFonts w:ascii="Times New Roman" w:hAnsi="Times New Roman" w:cs="Times New Roman"/>
          <w:sz w:val="28"/>
          <w:szCs w:val="24"/>
        </w:rPr>
        <w:t>500 000 євро (в еквіваленті 1</w:t>
      </w:r>
      <w:r w:rsidR="00851C64" w:rsidRPr="00865041">
        <w:rPr>
          <w:rFonts w:ascii="Times New Roman" w:hAnsi="Times New Roman" w:cs="Times New Roman"/>
          <w:sz w:val="28"/>
          <w:szCs w:val="24"/>
        </w:rPr>
        <w:t>35</w:t>
      </w:r>
      <w:r w:rsidR="00960F25" w:rsidRPr="00865041">
        <w:rPr>
          <w:rFonts w:ascii="Times New Roman" w:hAnsi="Times New Roman" w:cs="Times New Roman"/>
          <w:sz w:val="28"/>
          <w:szCs w:val="24"/>
        </w:rPr>
        <w:t> 000 </w:t>
      </w:r>
      <w:proofErr w:type="spellStart"/>
      <w:r w:rsidR="00851C64" w:rsidRPr="00865041">
        <w:rPr>
          <w:rFonts w:ascii="Times New Roman" w:hAnsi="Times New Roman" w:cs="Times New Roman"/>
          <w:sz w:val="28"/>
          <w:szCs w:val="24"/>
        </w:rPr>
        <w:t>тис.</w:t>
      </w:r>
      <w:r w:rsidR="00960F25" w:rsidRPr="00865041">
        <w:rPr>
          <w:rFonts w:ascii="Times New Roman" w:hAnsi="Times New Roman" w:cs="Times New Roman"/>
          <w:sz w:val="28"/>
          <w:szCs w:val="24"/>
        </w:rPr>
        <w:t>грн</w:t>
      </w:r>
      <w:proofErr w:type="spellEnd"/>
      <w:r w:rsidR="00851C64" w:rsidRPr="00865041">
        <w:rPr>
          <w:rFonts w:ascii="Times New Roman" w:hAnsi="Times New Roman" w:cs="Times New Roman"/>
          <w:sz w:val="28"/>
          <w:szCs w:val="24"/>
        </w:rPr>
        <w:t xml:space="preserve"> без ПДВ</w:t>
      </w:r>
      <w:r w:rsidR="00960F25" w:rsidRPr="00865041">
        <w:rPr>
          <w:rFonts w:ascii="Times New Roman" w:hAnsi="Times New Roman" w:cs="Times New Roman"/>
          <w:sz w:val="28"/>
          <w:szCs w:val="24"/>
        </w:rPr>
        <w:t>), в тому числі у 2020 році 450 000 євро (в еквіваленті 13 500 </w:t>
      </w:r>
      <w:proofErr w:type="spellStart"/>
      <w:r w:rsidR="00851C64" w:rsidRPr="00865041">
        <w:rPr>
          <w:rFonts w:ascii="Times New Roman" w:hAnsi="Times New Roman" w:cs="Times New Roman"/>
          <w:sz w:val="28"/>
          <w:szCs w:val="24"/>
        </w:rPr>
        <w:t>тис.</w:t>
      </w:r>
      <w:r w:rsidR="00960F25" w:rsidRPr="00865041">
        <w:rPr>
          <w:rFonts w:ascii="Times New Roman" w:hAnsi="Times New Roman" w:cs="Times New Roman"/>
          <w:sz w:val="28"/>
          <w:szCs w:val="24"/>
        </w:rPr>
        <w:t>грн</w:t>
      </w:r>
      <w:proofErr w:type="spellEnd"/>
      <w:r w:rsidR="00583269" w:rsidRPr="00865041">
        <w:rPr>
          <w:rFonts w:ascii="Times New Roman" w:hAnsi="Times New Roman" w:cs="Times New Roman"/>
          <w:sz w:val="28"/>
          <w:szCs w:val="24"/>
        </w:rPr>
        <w:t xml:space="preserve"> без ПДВ</w:t>
      </w:r>
      <w:r w:rsidR="00960F25" w:rsidRPr="00865041">
        <w:rPr>
          <w:rFonts w:ascii="Times New Roman" w:hAnsi="Times New Roman" w:cs="Times New Roman"/>
          <w:sz w:val="28"/>
          <w:szCs w:val="24"/>
        </w:rPr>
        <w:t>).</w:t>
      </w:r>
    </w:p>
    <w:p w:rsidR="00960F25" w:rsidRPr="00865041" w:rsidRDefault="00013B03" w:rsidP="0086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>Для повноцінної роботи при розширенні автобусного парку КП ММР «</w:t>
      </w:r>
      <w:proofErr w:type="spellStart"/>
      <w:r w:rsidRPr="00865041">
        <w:rPr>
          <w:rFonts w:ascii="Times New Roman" w:hAnsi="Times New Roman" w:cs="Times New Roman"/>
          <w:sz w:val="28"/>
          <w:szCs w:val="24"/>
        </w:rPr>
        <w:t>Миколаївпастранс</w:t>
      </w:r>
      <w:proofErr w:type="spellEnd"/>
      <w:r w:rsidRPr="00865041">
        <w:rPr>
          <w:rFonts w:ascii="Times New Roman" w:hAnsi="Times New Roman" w:cs="Times New Roman"/>
          <w:sz w:val="28"/>
          <w:szCs w:val="24"/>
        </w:rPr>
        <w:t xml:space="preserve">» необхідно розширювати територію автобусного депо з побудовою заправного </w:t>
      </w:r>
      <w:r w:rsidR="000518C3" w:rsidRPr="00865041">
        <w:rPr>
          <w:rFonts w:ascii="Times New Roman" w:hAnsi="Times New Roman" w:cs="Times New Roman"/>
          <w:sz w:val="28"/>
          <w:szCs w:val="24"/>
        </w:rPr>
        <w:t>та</w:t>
      </w:r>
      <w:r w:rsidR="004B364A" w:rsidRPr="00865041">
        <w:rPr>
          <w:rFonts w:ascii="Times New Roman" w:hAnsi="Times New Roman" w:cs="Times New Roman"/>
          <w:sz w:val="28"/>
          <w:szCs w:val="24"/>
        </w:rPr>
        <w:t xml:space="preserve"> мийного комплексу</w:t>
      </w:r>
      <w:r w:rsidR="000518C3" w:rsidRPr="00865041">
        <w:rPr>
          <w:rFonts w:ascii="Times New Roman" w:hAnsi="Times New Roman" w:cs="Times New Roman"/>
          <w:sz w:val="28"/>
          <w:szCs w:val="24"/>
        </w:rPr>
        <w:t xml:space="preserve"> </w:t>
      </w:r>
      <w:r w:rsidR="004B364A" w:rsidRPr="00865041">
        <w:rPr>
          <w:rFonts w:ascii="Times New Roman" w:hAnsi="Times New Roman" w:cs="Times New Roman"/>
          <w:sz w:val="28"/>
          <w:szCs w:val="24"/>
        </w:rPr>
        <w:t>та капітальним ремонтом території, адміністративних та допоміжних будівель і споруд у розмірі 15</w:t>
      </w:r>
      <w:r w:rsidR="000518C3" w:rsidRPr="00865041">
        <w:rPr>
          <w:rFonts w:ascii="Times New Roman" w:hAnsi="Times New Roman" w:cs="Times New Roman"/>
          <w:sz w:val="28"/>
          <w:szCs w:val="24"/>
        </w:rPr>
        <w:t>4</w:t>
      </w:r>
      <w:r w:rsidR="00851C64" w:rsidRPr="00865041">
        <w:rPr>
          <w:rFonts w:ascii="Times New Roman" w:hAnsi="Times New Roman" w:cs="Times New Roman"/>
          <w:sz w:val="28"/>
          <w:szCs w:val="24"/>
        </w:rPr>
        <w:t> 000</w:t>
      </w:r>
      <w:r w:rsidR="004B364A" w:rsidRPr="0086504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51C64" w:rsidRPr="00865041">
        <w:rPr>
          <w:rFonts w:ascii="Times New Roman" w:hAnsi="Times New Roman" w:cs="Times New Roman"/>
          <w:sz w:val="28"/>
          <w:szCs w:val="24"/>
        </w:rPr>
        <w:t>тис.</w:t>
      </w:r>
      <w:r w:rsidR="004B364A" w:rsidRPr="00865041">
        <w:rPr>
          <w:rFonts w:ascii="Times New Roman" w:hAnsi="Times New Roman" w:cs="Times New Roman"/>
          <w:sz w:val="28"/>
          <w:szCs w:val="24"/>
        </w:rPr>
        <w:t>грн</w:t>
      </w:r>
      <w:proofErr w:type="spellEnd"/>
      <w:r w:rsidR="004B364A" w:rsidRPr="00865041">
        <w:rPr>
          <w:rFonts w:ascii="Times New Roman" w:hAnsi="Times New Roman" w:cs="Times New Roman"/>
          <w:sz w:val="28"/>
          <w:szCs w:val="24"/>
        </w:rPr>
        <w:t>, з них: у 2021 році – 10</w:t>
      </w:r>
      <w:r w:rsidR="00851C64" w:rsidRPr="00865041">
        <w:rPr>
          <w:rFonts w:ascii="Times New Roman" w:hAnsi="Times New Roman" w:cs="Times New Roman"/>
          <w:sz w:val="28"/>
          <w:szCs w:val="24"/>
        </w:rPr>
        <w:t> </w:t>
      </w:r>
      <w:r w:rsidR="004B364A" w:rsidRPr="00865041">
        <w:rPr>
          <w:rFonts w:ascii="Times New Roman" w:hAnsi="Times New Roman" w:cs="Times New Roman"/>
          <w:sz w:val="28"/>
          <w:szCs w:val="24"/>
        </w:rPr>
        <w:t xml:space="preserve">000 </w:t>
      </w:r>
      <w:proofErr w:type="spellStart"/>
      <w:r w:rsidR="00851C64" w:rsidRPr="00865041">
        <w:rPr>
          <w:rFonts w:ascii="Times New Roman" w:hAnsi="Times New Roman" w:cs="Times New Roman"/>
          <w:sz w:val="28"/>
          <w:szCs w:val="24"/>
        </w:rPr>
        <w:t>тис.</w:t>
      </w:r>
      <w:r w:rsidR="004B364A" w:rsidRPr="00865041">
        <w:rPr>
          <w:rFonts w:ascii="Times New Roman" w:hAnsi="Times New Roman" w:cs="Times New Roman"/>
          <w:sz w:val="28"/>
          <w:szCs w:val="24"/>
        </w:rPr>
        <w:t>грн</w:t>
      </w:r>
      <w:proofErr w:type="spellEnd"/>
      <w:r w:rsidR="004B364A" w:rsidRPr="00865041">
        <w:rPr>
          <w:rFonts w:ascii="Times New Roman" w:hAnsi="Times New Roman" w:cs="Times New Roman"/>
          <w:sz w:val="28"/>
          <w:szCs w:val="24"/>
        </w:rPr>
        <w:t>, у 2022 році – 12</w:t>
      </w:r>
      <w:r w:rsidR="000518C3" w:rsidRPr="00865041">
        <w:rPr>
          <w:rFonts w:ascii="Times New Roman" w:hAnsi="Times New Roman" w:cs="Times New Roman"/>
          <w:sz w:val="28"/>
          <w:szCs w:val="24"/>
        </w:rPr>
        <w:t>4</w:t>
      </w:r>
      <w:r w:rsidR="00851C64" w:rsidRPr="00865041">
        <w:rPr>
          <w:rFonts w:ascii="Times New Roman" w:hAnsi="Times New Roman" w:cs="Times New Roman"/>
          <w:sz w:val="28"/>
          <w:szCs w:val="24"/>
        </w:rPr>
        <w:t> </w:t>
      </w:r>
      <w:r w:rsidR="004B364A" w:rsidRPr="00865041">
        <w:rPr>
          <w:rFonts w:ascii="Times New Roman" w:hAnsi="Times New Roman" w:cs="Times New Roman"/>
          <w:sz w:val="28"/>
          <w:szCs w:val="24"/>
        </w:rPr>
        <w:t xml:space="preserve">000 </w:t>
      </w:r>
      <w:proofErr w:type="spellStart"/>
      <w:r w:rsidR="00851C64" w:rsidRPr="00865041">
        <w:rPr>
          <w:rFonts w:ascii="Times New Roman" w:hAnsi="Times New Roman" w:cs="Times New Roman"/>
          <w:sz w:val="28"/>
          <w:szCs w:val="24"/>
        </w:rPr>
        <w:t>тис.</w:t>
      </w:r>
      <w:r w:rsidR="004B364A" w:rsidRPr="00865041">
        <w:rPr>
          <w:rFonts w:ascii="Times New Roman" w:hAnsi="Times New Roman" w:cs="Times New Roman"/>
          <w:sz w:val="28"/>
          <w:szCs w:val="24"/>
        </w:rPr>
        <w:t>грн</w:t>
      </w:r>
      <w:proofErr w:type="spellEnd"/>
      <w:r w:rsidR="004B364A" w:rsidRPr="00865041">
        <w:rPr>
          <w:rFonts w:ascii="Times New Roman" w:hAnsi="Times New Roman" w:cs="Times New Roman"/>
          <w:sz w:val="28"/>
          <w:szCs w:val="24"/>
        </w:rPr>
        <w:t>, у 2023 році – 20</w:t>
      </w:r>
      <w:r w:rsidR="00851C64" w:rsidRPr="00865041">
        <w:rPr>
          <w:rFonts w:ascii="Times New Roman" w:hAnsi="Times New Roman" w:cs="Times New Roman"/>
          <w:sz w:val="28"/>
          <w:szCs w:val="24"/>
        </w:rPr>
        <w:t> </w:t>
      </w:r>
      <w:r w:rsidR="004B364A" w:rsidRPr="00865041">
        <w:rPr>
          <w:rFonts w:ascii="Times New Roman" w:hAnsi="Times New Roman" w:cs="Times New Roman"/>
          <w:sz w:val="28"/>
          <w:szCs w:val="24"/>
        </w:rPr>
        <w:t xml:space="preserve">000 </w:t>
      </w:r>
      <w:proofErr w:type="spellStart"/>
      <w:r w:rsidR="00851C64" w:rsidRPr="00865041">
        <w:rPr>
          <w:rFonts w:ascii="Times New Roman" w:hAnsi="Times New Roman" w:cs="Times New Roman"/>
          <w:sz w:val="28"/>
          <w:szCs w:val="24"/>
        </w:rPr>
        <w:t>тис.</w:t>
      </w:r>
      <w:r w:rsidR="004B364A" w:rsidRPr="00865041">
        <w:rPr>
          <w:rFonts w:ascii="Times New Roman" w:hAnsi="Times New Roman" w:cs="Times New Roman"/>
          <w:sz w:val="28"/>
          <w:szCs w:val="24"/>
        </w:rPr>
        <w:t>грн</w:t>
      </w:r>
      <w:proofErr w:type="spellEnd"/>
      <w:r w:rsidR="004B364A" w:rsidRPr="00865041">
        <w:rPr>
          <w:rFonts w:ascii="Times New Roman" w:hAnsi="Times New Roman" w:cs="Times New Roman"/>
          <w:sz w:val="28"/>
          <w:szCs w:val="24"/>
        </w:rPr>
        <w:t>.</w:t>
      </w:r>
    </w:p>
    <w:p w:rsidR="00463536" w:rsidRDefault="00463536" w:rsidP="0086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 xml:space="preserve">Шляхом </w:t>
      </w:r>
      <w:r w:rsidR="00451370" w:rsidRPr="00865041">
        <w:rPr>
          <w:rFonts w:ascii="Times New Roman" w:hAnsi="Times New Roman" w:cs="Times New Roman"/>
          <w:sz w:val="28"/>
          <w:szCs w:val="24"/>
        </w:rPr>
        <w:t>компенсації зобов’язань за договором фінансового лізингу від 13.02.2019 № 1070-ЛД забезпечується безперебійна робота КП ММР «</w:t>
      </w:r>
      <w:proofErr w:type="spellStart"/>
      <w:r w:rsidR="00451370" w:rsidRPr="00865041">
        <w:rPr>
          <w:rFonts w:ascii="Times New Roman" w:hAnsi="Times New Roman" w:cs="Times New Roman"/>
          <w:sz w:val="28"/>
          <w:szCs w:val="24"/>
        </w:rPr>
        <w:t>Миколаївпастранс</w:t>
      </w:r>
      <w:proofErr w:type="spellEnd"/>
      <w:r w:rsidR="00451370" w:rsidRPr="00865041">
        <w:rPr>
          <w:rFonts w:ascii="Times New Roman" w:hAnsi="Times New Roman" w:cs="Times New Roman"/>
          <w:sz w:val="28"/>
          <w:szCs w:val="24"/>
        </w:rPr>
        <w:t xml:space="preserve">», а саме: фінансове забезпечення погашення частини вартості предмета фінансового лізингу у 2020 році </w:t>
      </w:r>
      <w:r w:rsidR="006E4B9D">
        <w:rPr>
          <w:rFonts w:ascii="Times New Roman" w:hAnsi="Times New Roman" w:cs="Times New Roman"/>
          <w:sz w:val="28"/>
          <w:szCs w:val="24"/>
        </w:rPr>
        <w:t>–</w:t>
      </w:r>
      <w:r w:rsidR="00451370" w:rsidRPr="00865041">
        <w:rPr>
          <w:rFonts w:ascii="Times New Roman" w:hAnsi="Times New Roman" w:cs="Times New Roman"/>
          <w:sz w:val="28"/>
          <w:szCs w:val="24"/>
        </w:rPr>
        <w:t xml:space="preserve"> 17 </w:t>
      </w:r>
      <w:r w:rsidR="00583269" w:rsidRPr="00865041">
        <w:rPr>
          <w:rFonts w:ascii="Times New Roman" w:hAnsi="Times New Roman" w:cs="Times New Roman"/>
          <w:sz w:val="28"/>
          <w:szCs w:val="24"/>
        </w:rPr>
        <w:t>350</w:t>
      </w:r>
      <w:r w:rsidR="00451370" w:rsidRPr="00865041">
        <w:rPr>
          <w:rFonts w:ascii="Times New Roman" w:hAnsi="Times New Roman" w:cs="Times New Roman"/>
          <w:sz w:val="28"/>
          <w:szCs w:val="24"/>
        </w:rPr>
        <w:t>,</w:t>
      </w:r>
      <w:r w:rsidR="00583269" w:rsidRPr="00865041">
        <w:rPr>
          <w:rFonts w:ascii="Times New Roman" w:hAnsi="Times New Roman" w:cs="Times New Roman"/>
          <w:sz w:val="28"/>
          <w:szCs w:val="24"/>
        </w:rPr>
        <w:t>0</w:t>
      </w:r>
      <w:r w:rsidR="00451370" w:rsidRPr="00865041">
        <w:rPr>
          <w:rFonts w:ascii="Times New Roman" w:hAnsi="Times New Roman" w:cs="Times New Roman"/>
          <w:sz w:val="28"/>
          <w:szCs w:val="24"/>
        </w:rPr>
        <w:t xml:space="preserve">0 </w:t>
      </w:r>
      <w:proofErr w:type="spellStart"/>
      <w:r w:rsidR="00583269" w:rsidRPr="00865041">
        <w:rPr>
          <w:rFonts w:ascii="Times New Roman" w:hAnsi="Times New Roman" w:cs="Times New Roman"/>
          <w:sz w:val="28"/>
          <w:szCs w:val="24"/>
        </w:rPr>
        <w:t>тис.</w:t>
      </w:r>
      <w:r w:rsidR="00451370" w:rsidRPr="00865041">
        <w:rPr>
          <w:rFonts w:ascii="Times New Roman" w:hAnsi="Times New Roman" w:cs="Times New Roman"/>
          <w:sz w:val="28"/>
          <w:szCs w:val="24"/>
        </w:rPr>
        <w:t>грн</w:t>
      </w:r>
      <w:proofErr w:type="spellEnd"/>
      <w:r w:rsidR="00451370" w:rsidRPr="00865041">
        <w:rPr>
          <w:rFonts w:ascii="Times New Roman" w:hAnsi="Times New Roman" w:cs="Times New Roman"/>
          <w:sz w:val="28"/>
          <w:szCs w:val="24"/>
        </w:rPr>
        <w:t>, у 2021 році - 17 3</w:t>
      </w:r>
      <w:r w:rsidR="00583269" w:rsidRPr="00865041">
        <w:rPr>
          <w:rFonts w:ascii="Times New Roman" w:hAnsi="Times New Roman" w:cs="Times New Roman"/>
          <w:sz w:val="28"/>
          <w:szCs w:val="24"/>
        </w:rPr>
        <w:t>50</w:t>
      </w:r>
      <w:r w:rsidR="00451370" w:rsidRPr="00865041">
        <w:rPr>
          <w:rFonts w:ascii="Times New Roman" w:hAnsi="Times New Roman" w:cs="Times New Roman"/>
          <w:sz w:val="28"/>
          <w:szCs w:val="24"/>
        </w:rPr>
        <w:t>,</w:t>
      </w:r>
      <w:r w:rsidR="00583269" w:rsidRPr="00865041">
        <w:rPr>
          <w:rFonts w:ascii="Times New Roman" w:hAnsi="Times New Roman" w:cs="Times New Roman"/>
          <w:sz w:val="28"/>
          <w:szCs w:val="24"/>
        </w:rPr>
        <w:t>0</w:t>
      </w:r>
      <w:r w:rsidR="00451370" w:rsidRPr="00865041">
        <w:rPr>
          <w:rFonts w:ascii="Times New Roman" w:hAnsi="Times New Roman" w:cs="Times New Roman"/>
          <w:sz w:val="28"/>
          <w:szCs w:val="24"/>
        </w:rPr>
        <w:t xml:space="preserve">0 </w:t>
      </w:r>
      <w:proofErr w:type="spellStart"/>
      <w:r w:rsidR="00583269" w:rsidRPr="00865041">
        <w:rPr>
          <w:rFonts w:ascii="Times New Roman" w:hAnsi="Times New Roman" w:cs="Times New Roman"/>
          <w:sz w:val="28"/>
          <w:szCs w:val="24"/>
        </w:rPr>
        <w:t>тис.</w:t>
      </w:r>
      <w:r w:rsidR="00451370" w:rsidRPr="00865041">
        <w:rPr>
          <w:rFonts w:ascii="Times New Roman" w:hAnsi="Times New Roman" w:cs="Times New Roman"/>
          <w:sz w:val="28"/>
          <w:szCs w:val="24"/>
        </w:rPr>
        <w:t>грн</w:t>
      </w:r>
      <w:proofErr w:type="spellEnd"/>
      <w:r w:rsidR="00451370" w:rsidRPr="00865041">
        <w:rPr>
          <w:rFonts w:ascii="Times New Roman" w:hAnsi="Times New Roman" w:cs="Times New Roman"/>
          <w:sz w:val="28"/>
          <w:szCs w:val="24"/>
        </w:rPr>
        <w:t>, у 2022 році – 7 </w:t>
      </w:r>
      <w:r w:rsidR="00583269" w:rsidRPr="00865041">
        <w:rPr>
          <w:rFonts w:ascii="Times New Roman" w:hAnsi="Times New Roman" w:cs="Times New Roman"/>
          <w:sz w:val="28"/>
          <w:szCs w:val="24"/>
        </w:rPr>
        <w:t>250</w:t>
      </w:r>
      <w:r w:rsidR="00451370" w:rsidRPr="00865041">
        <w:rPr>
          <w:rFonts w:ascii="Times New Roman" w:hAnsi="Times New Roman" w:cs="Times New Roman"/>
          <w:sz w:val="28"/>
          <w:szCs w:val="24"/>
        </w:rPr>
        <w:t>,0</w:t>
      </w:r>
      <w:r w:rsidR="00583269" w:rsidRPr="00865041">
        <w:rPr>
          <w:rFonts w:ascii="Times New Roman" w:hAnsi="Times New Roman" w:cs="Times New Roman"/>
          <w:sz w:val="28"/>
          <w:szCs w:val="24"/>
        </w:rPr>
        <w:t>0</w:t>
      </w:r>
      <w:r w:rsidR="00451370" w:rsidRPr="0086504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704B1" w:rsidRPr="00865041">
        <w:rPr>
          <w:rFonts w:ascii="Times New Roman" w:hAnsi="Times New Roman" w:cs="Times New Roman"/>
          <w:sz w:val="28"/>
          <w:szCs w:val="24"/>
        </w:rPr>
        <w:t>тис.</w:t>
      </w:r>
      <w:r w:rsidR="00451370" w:rsidRPr="00865041">
        <w:rPr>
          <w:rFonts w:ascii="Times New Roman" w:hAnsi="Times New Roman" w:cs="Times New Roman"/>
          <w:sz w:val="28"/>
          <w:szCs w:val="24"/>
        </w:rPr>
        <w:t>грн</w:t>
      </w:r>
      <w:proofErr w:type="spellEnd"/>
      <w:r w:rsidR="00451370" w:rsidRPr="00865041">
        <w:rPr>
          <w:rFonts w:ascii="Times New Roman" w:hAnsi="Times New Roman" w:cs="Times New Roman"/>
          <w:sz w:val="28"/>
          <w:szCs w:val="24"/>
        </w:rPr>
        <w:t>; фінансове забезпечення погашення відсотків фінансового лізингу у 2020 році – 10 </w:t>
      </w:r>
      <w:r w:rsidR="00583269" w:rsidRPr="00865041">
        <w:rPr>
          <w:rFonts w:ascii="Times New Roman" w:hAnsi="Times New Roman" w:cs="Times New Roman"/>
          <w:sz w:val="28"/>
          <w:szCs w:val="24"/>
        </w:rPr>
        <w:t>200</w:t>
      </w:r>
      <w:r w:rsidR="00451370" w:rsidRPr="00865041">
        <w:rPr>
          <w:rFonts w:ascii="Times New Roman" w:hAnsi="Times New Roman" w:cs="Times New Roman"/>
          <w:sz w:val="28"/>
          <w:szCs w:val="24"/>
        </w:rPr>
        <w:t>,</w:t>
      </w:r>
      <w:r w:rsidR="00583269" w:rsidRPr="00865041">
        <w:rPr>
          <w:rFonts w:ascii="Times New Roman" w:hAnsi="Times New Roman" w:cs="Times New Roman"/>
          <w:sz w:val="28"/>
          <w:szCs w:val="24"/>
        </w:rPr>
        <w:t>0</w:t>
      </w:r>
      <w:r w:rsidR="00451370" w:rsidRPr="00865041">
        <w:rPr>
          <w:rFonts w:ascii="Times New Roman" w:hAnsi="Times New Roman" w:cs="Times New Roman"/>
          <w:sz w:val="28"/>
          <w:szCs w:val="24"/>
        </w:rPr>
        <w:t xml:space="preserve">0 </w:t>
      </w:r>
      <w:proofErr w:type="spellStart"/>
      <w:r w:rsidR="007704B1" w:rsidRPr="00865041">
        <w:rPr>
          <w:rFonts w:ascii="Times New Roman" w:hAnsi="Times New Roman" w:cs="Times New Roman"/>
          <w:sz w:val="28"/>
          <w:szCs w:val="24"/>
        </w:rPr>
        <w:t>тис.</w:t>
      </w:r>
      <w:r w:rsidR="00451370" w:rsidRPr="00865041">
        <w:rPr>
          <w:rFonts w:ascii="Times New Roman" w:hAnsi="Times New Roman" w:cs="Times New Roman"/>
          <w:sz w:val="28"/>
          <w:szCs w:val="24"/>
        </w:rPr>
        <w:t>грн</w:t>
      </w:r>
      <w:proofErr w:type="spellEnd"/>
      <w:r w:rsidR="00451370" w:rsidRPr="00865041">
        <w:rPr>
          <w:rFonts w:ascii="Times New Roman" w:hAnsi="Times New Roman" w:cs="Times New Roman"/>
          <w:sz w:val="28"/>
          <w:szCs w:val="24"/>
        </w:rPr>
        <w:t>, у 2021 році – 6 1</w:t>
      </w:r>
      <w:r w:rsidR="00583269" w:rsidRPr="00865041">
        <w:rPr>
          <w:rFonts w:ascii="Times New Roman" w:hAnsi="Times New Roman" w:cs="Times New Roman"/>
          <w:sz w:val="28"/>
          <w:szCs w:val="24"/>
        </w:rPr>
        <w:t>50</w:t>
      </w:r>
      <w:r w:rsidR="00451370" w:rsidRPr="00865041">
        <w:rPr>
          <w:rFonts w:ascii="Times New Roman" w:hAnsi="Times New Roman" w:cs="Times New Roman"/>
          <w:sz w:val="28"/>
          <w:szCs w:val="24"/>
        </w:rPr>
        <w:t>,</w:t>
      </w:r>
      <w:r w:rsidR="00583269" w:rsidRPr="00865041">
        <w:rPr>
          <w:rFonts w:ascii="Times New Roman" w:hAnsi="Times New Roman" w:cs="Times New Roman"/>
          <w:sz w:val="28"/>
          <w:szCs w:val="24"/>
        </w:rPr>
        <w:t>00</w:t>
      </w:r>
      <w:r w:rsidR="00451370" w:rsidRPr="0086504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704B1" w:rsidRPr="00865041">
        <w:rPr>
          <w:rFonts w:ascii="Times New Roman" w:hAnsi="Times New Roman" w:cs="Times New Roman"/>
          <w:sz w:val="28"/>
          <w:szCs w:val="24"/>
        </w:rPr>
        <w:t>тис.</w:t>
      </w:r>
      <w:r w:rsidR="00451370" w:rsidRPr="00865041">
        <w:rPr>
          <w:rFonts w:ascii="Times New Roman" w:hAnsi="Times New Roman" w:cs="Times New Roman"/>
          <w:sz w:val="28"/>
          <w:szCs w:val="24"/>
        </w:rPr>
        <w:t>грн</w:t>
      </w:r>
      <w:proofErr w:type="spellEnd"/>
      <w:r w:rsidR="00451370" w:rsidRPr="00865041">
        <w:rPr>
          <w:rFonts w:ascii="Times New Roman" w:hAnsi="Times New Roman" w:cs="Times New Roman"/>
          <w:sz w:val="28"/>
          <w:szCs w:val="24"/>
        </w:rPr>
        <w:t xml:space="preserve">, у 2022 році </w:t>
      </w:r>
      <w:r w:rsidR="00D61768" w:rsidRPr="00865041">
        <w:rPr>
          <w:rFonts w:ascii="Times New Roman" w:hAnsi="Times New Roman" w:cs="Times New Roman"/>
          <w:sz w:val="28"/>
          <w:szCs w:val="24"/>
        </w:rPr>
        <w:t>–</w:t>
      </w:r>
      <w:r w:rsidR="00451370" w:rsidRPr="00865041">
        <w:rPr>
          <w:rFonts w:ascii="Times New Roman" w:hAnsi="Times New Roman" w:cs="Times New Roman"/>
          <w:sz w:val="28"/>
          <w:szCs w:val="24"/>
        </w:rPr>
        <w:t xml:space="preserve"> 1</w:t>
      </w:r>
      <w:r w:rsidR="00D61768" w:rsidRPr="00865041">
        <w:rPr>
          <w:rFonts w:ascii="Times New Roman" w:hAnsi="Times New Roman" w:cs="Times New Roman"/>
          <w:sz w:val="28"/>
          <w:szCs w:val="24"/>
        </w:rPr>
        <w:t> 3</w:t>
      </w:r>
      <w:r w:rsidR="00583269" w:rsidRPr="00865041">
        <w:rPr>
          <w:rFonts w:ascii="Times New Roman" w:hAnsi="Times New Roman" w:cs="Times New Roman"/>
          <w:sz w:val="28"/>
          <w:szCs w:val="24"/>
        </w:rPr>
        <w:t>60</w:t>
      </w:r>
      <w:r w:rsidR="00D61768" w:rsidRPr="00865041">
        <w:rPr>
          <w:rFonts w:ascii="Times New Roman" w:hAnsi="Times New Roman" w:cs="Times New Roman"/>
          <w:sz w:val="28"/>
          <w:szCs w:val="24"/>
        </w:rPr>
        <w:t>,</w:t>
      </w:r>
      <w:r w:rsidR="00583269" w:rsidRPr="00865041">
        <w:rPr>
          <w:rFonts w:ascii="Times New Roman" w:hAnsi="Times New Roman" w:cs="Times New Roman"/>
          <w:sz w:val="28"/>
          <w:szCs w:val="24"/>
        </w:rPr>
        <w:t>00</w:t>
      </w:r>
      <w:r w:rsidR="00D61768" w:rsidRPr="0086504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704B1" w:rsidRPr="00865041">
        <w:rPr>
          <w:rFonts w:ascii="Times New Roman" w:hAnsi="Times New Roman" w:cs="Times New Roman"/>
          <w:sz w:val="28"/>
          <w:szCs w:val="24"/>
        </w:rPr>
        <w:t>тис.</w:t>
      </w:r>
      <w:r w:rsidR="00D61768" w:rsidRPr="00865041">
        <w:rPr>
          <w:rFonts w:ascii="Times New Roman" w:hAnsi="Times New Roman" w:cs="Times New Roman"/>
          <w:sz w:val="28"/>
          <w:szCs w:val="24"/>
        </w:rPr>
        <w:t>грн</w:t>
      </w:r>
      <w:proofErr w:type="spellEnd"/>
      <w:r w:rsidR="006E4B9D">
        <w:rPr>
          <w:rFonts w:ascii="Times New Roman" w:hAnsi="Times New Roman" w:cs="Times New Roman"/>
          <w:sz w:val="28"/>
          <w:szCs w:val="24"/>
        </w:rPr>
        <w:t>.</w:t>
      </w:r>
    </w:p>
    <w:p w:rsidR="008D1C26" w:rsidRPr="00865041" w:rsidRDefault="008D1C26" w:rsidP="0086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61768" w:rsidRPr="008D1C26" w:rsidRDefault="00D61768" w:rsidP="008D1C2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4"/>
        </w:rPr>
      </w:pPr>
      <w:r w:rsidRPr="008D1C26">
        <w:rPr>
          <w:rFonts w:ascii="Times New Roman" w:hAnsi="Times New Roman" w:cs="Times New Roman"/>
          <w:sz w:val="28"/>
          <w:szCs w:val="24"/>
        </w:rPr>
        <w:t>Фінансове забезпечення реалізації Програми</w:t>
      </w:r>
    </w:p>
    <w:p w:rsidR="008D1C26" w:rsidRDefault="008D1C26" w:rsidP="00865041">
      <w:pPr>
        <w:pStyle w:val="a3"/>
        <w:tabs>
          <w:tab w:val="left" w:pos="1440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4"/>
        </w:rPr>
      </w:pPr>
    </w:p>
    <w:p w:rsidR="00D61768" w:rsidRPr="00AD459A" w:rsidRDefault="00D61768" w:rsidP="00AD459A">
      <w:pPr>
        <w:tabs>
          <w:tab w:val="left" w:pos="14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AD459A">
        <w:rPr>
          <w:rFonts w:ascii="Times New Roman" w:hAnsi="Times New Roman" w:cs="Times New Roman"/>
          <w:sz w:val="28"/>
          <w:szCs w:val="24"/>
        </w:rPr>
        <w:t>Джерелами фінансування заходів Програми є:</w:t>
      </w:r>
    </w:p>
    <w:p w:rsidR="00D61768" w:rsidRPr="00AD459A" w:rsidRDefault="00AD459A" w:rsidP="00AD459A">
      <w:pPr>
        <w:pStyle w:val="a3"/>
        <w:numPr>
          <w:ilvl w:val="0"/>
          <w:numId w:val="5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</w:t>
      </w:r>
      <w:r w:rsidR="00D61768" w:rsidRPr="00AD459A">
        <w:rPr>
          <w:rFonts w:ascii="Times New Roman" w:hAnsi="Times New Roman" w:cs="Times New Roman"/>
          <w:sz w:val="28"/>
          <w:szCs w:val="24"/>
        </w:rPr>
        <w:t>ошти</w:t>
      </w:r>
      <w:r>
        <w:rPr>
          <w:rFonts w:ascii="Times New Roman" w:hAnsi="Times New Roman" w:cs="Times New Roman"/>
          <w:sz w:val="28"/>
          <w:szCs w:val="24"/>
        </w:rPr>
        <w:t>,</w:t>
      </w:r>
      <w:r w:rsidR="00D61768" w:rsidRPr="00AD459A">
        <w:rPr>
          <w:rFonts w:ascii="Times New Roman" w:hAnsi="Times New Roman" w:cs="Times New Roman"/>
          <w:sz w:val="28"/>
          <w:szCs w:val="24"/>
        </w:rPr>
        <w:t xml:space="preserve"> передбачені в міському бюджеті;</w:t>
      </w:r>
    </w:p>
    <w:p w:rsidR="00D61768" w:rsidRPr="00AD459A" w:rsidRDefault="00AD459A" w:rsidP="00AD459A">
      <w:pPr>
        <w:pStyle w:val="a3"/>
        <w:numPr>
          <w:ilvl w:val="0"/>
          <w:numId w:val="5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</w:t>
      </w:r>
      <w:r w:rsidR="00D61768" w:rsidRPr="00AD459A">
        <w:rPr>
          <w:rFonts w:ascii="Times New Roman" w:hAnsi="Times New Roman" w:cs="Times New Roman"/>
          <w:sz w:val="28"/>
          <w:szCs w:val="24"/>
        </w:rPr>
        <w:t>ошти підприємства, залучені на реалізацію Програми розвитку;</w:t>
      </w:r>
    </w:p>
    <w:p w:rsidR="00D61768" w:rsidRPr="00AD459A" w:rsidRDefault="00AD459A" w:rsidP="00AD459A">
      <w:pPr>
        <w:pStyle w:val="a3"/>
        <w:numPr>
          <w:ilvl w:val="0"/>
          <w:numId w:val="5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D61768" w:rsidRPr="00AD459A">
        <w:rPr>
          <w:rFonts w:ascii="Times New Roman" w:hAnsi="Times New Roman" w:cs="Times New Roman"/>
          <w:sz w:val="28"/>
          <w:szCs w:val="24"/>
        </w:rPr>
        <w:t>алучені кошти за програмами Європейського інвестиційного банку;</w:t>
      </w:r>
    </w:p>
    <w:p w:rsidR="00D61768" w:rsidRPr="00AD459A" w:rsidRDefault="00AD459A" w:rsidP="00AD459A">
      <w:pPr>
        <w:pStyle w:val="a3"/>
        <w:numPr>
          <w:ilvl w:val="0"/>
          <w:numId w:val="5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і</w:t>
      </w:r>
      <w:r w:rsidR="00D61768" w:rsidRPr="00AD459A">
        <w:rPr>
          <w:rFonts w:ascii="Times New Roman" w:hAnsi="Times New Roman" w:cs="Times New Roman"/>
          <w:sz w:val="28"/>
          <w:szCs w:val="24"/>
        </w:rPr>
        <w:t>нші джерела, не заборонені законодавством.</w:t>
      </w:r>
    </w:p>
    <w:p w:rsidR="008D1C26" w:rsidRPr="00865041" w:rsidRDefault="008D1C26" w:rsidP="00865041">
      <w:pPr>
        <w:pStyle w:val="a3"/>
        <w:tabs>
          <w:tab w:val="left" w:pos="1440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4"/>
        </w:rPr>
      </w:pPr>
    </w:p>
    <w:p w:rsidR="00D61768" w:rsidRPr="006C04F7" w:rsidRDefault="00D61768" w:rsidP="006C04F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4"/>
        </w:rPr>
      </w:pPr>
      <w:r w:rsidRPr="006C04F7">
        <w:rPr>
          <w:rFonts w:ascii="Times New Roman" w:hAnsi="Times New Roman" w:cs="Times New Roman"/>
          <w:sz w:val="28"/>
          <w:szCs w:val="24"/>
        </w:rPr>
        <w:t>Координація та контроль за ходом виконання Програми</w:t>
      </w:r>
    </w:p>
    <w:p w:rsidR="006C04F7" w:rsidRDefault="006C04F7" w:rsidP="0086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462DD" w:rsidRPr="00865041" w:rsidRDefault="00D61768" w:rsidP="0086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>Відповідальним виконавцем Прог</w:t>
      </w:r>
      <w:r w:rsidR="00C462DD" w:rsidRPr="00865041">
        <w:rPr>
          <w:rFonts w:ascii="Times New Roman" w:hAnsi="Times New Roman" w:cs="Times New Roman"/>
          <w:sz w:val="28"/>
          <w:szCs w:val="24"/>
        </w:rPr>
        <w:t xml:space="preserve">рами є управління транспортного </w:t>
      </w:r>
      <w:r w:rsidRPr="00865041">
        <w:rPr>
          <w:rFonts w:ascii="Times New Roman" w:hAnsi="Times New Roman" w:cs="Times New Roman"/>
          <w:sz w:val="28"/>
          <w:szCs w:val="24"/>
        </w:rPr>
        <w:t>комплексу, зв’язку та телекомуніка</w:t>
      </w:r>
      <w:r w:rsidR="00C462DD" w:rsidRPr="00865041">
        <w:rPr>
          <w:rFonts w:ascii="Times New Roman" w:hAnsi="Times New Roman" w:cs="Times New Roman"/>
          <w:sz w:val="28"/>
          <w:szCs w:val="24"/>
        </w:rPr>
        <w:t xml:space="preserve">цій Миколаївської міської ради. </w:t>
      </w:r>
    </w:p>
    <w:p w:rsidR="00CF317F" w:rsidRDefault="00D61768" w:rsidP="0086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>Управління транспортного комплексу, зв’язку та телекомуні</w:t>
      </w:r>
      <w:r w:rsidR="00C462DD" w:rsidRPr="00865041">
        <w:rPr>
          <w:rFonts w:ascii="Times New Roman" w:hAnsi="Times New Roman" w:cs="Times New Roman"/>
          <w:sz w:val="28"/>
          <w:szCs w:val="24"/>
        </w:rPr>
        <w:t xml:space="preserve">кацій </w:t>
      </w:r>
      <w:r w:rsidRPr="00865041">
        <w:rPr>
          <w:rFonts w:ascii="Times New Roman" w:hAnsi="Times New Roman" w:cs="Times New Roman"/>
          <w:sz w:val="28"/>
          <w:szCs w:val="24"/>
        </w:rPr>
        <w:t>Миколаївської міської ради до 25 лютого на</w:t>
      </w:r>
      <w:r w:rsidR="00C462DD" w:rsidRPr="00865041">
        <w:rPr>
          <w:rFonts w:ascii="Times New Roman" w:hAnsi="Times New Roman" w:cs="Times New Roman"/>
          <w:sz w:val="28"/>
          <w:szCs w:val="24"/>
        </w:rPr>
        <w:t xml:space="preserve">дає звіти за кожний рік про хід </w:t>
      </w:r>
      <w:r w:rsidRPr="00865041">
        <w:rPr>
          <w:rFonts w:ascii="Times New Roman" w:hAnsi="Times New Roman" w:cs="Times New Roman"/>
          <w:sz w:val="28"/>
          <w:szCs w:val="24"/>
        </w:rPr>
        <w:t>виконання Програми постійній комісії міськ</w:t>
      </w:r>
      <w:r w:rsidR="00C462DD" w:rsidRPr="00865041">
        <w:rPr>
          <w:rFonts w:ascii="Times New Roman" w:hAnsi="Times New Roman" w:cs="Times New Roman"/>
          <w:sz w:val="28"/>
          <w:szCs w:val="24"/>
        </w:rPr>
        <w:t xml:space="preserve">ої ради з питань промисловості, </w:t>
      </w:r>
      <w:r w:rsidRPr="00865041">
        <w:rPr>
          <w:rFonts w:ascii="Times New Roman" w:hAnsi="Times New Roman" w:cs="Times New Roman"/>
          <w:sz w:val="28"/>
          <w:szCs w:val="24"/>
        </w:rPr>
        <w:t>транспорту, енергозбереження, сфери послуг, підприємництва та торгівлі.</w:t>
      </w:r>
    </w:p>
    <w:p w:rsidR="006C04F7" w:rsidRPr="00865041" w:rsidRDefault="006C04F7" w:rsidP="0086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462DD" w:rsidRPr="006C04F7" w:rsidRDefault="00C462DD" w:rsidP="006C04F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4"/>
        </w:rPr>
      </w:pPr>
      <w:r w:rsidRPr="006C04F7">
        <w:rPr>
          <w:rFonts w:ascii="Times New Roman" w:hAnsi="Times New Roman" w:cs="Times New Roman"/>
          <w:sz w:val="28"/>
          <w:szCs w:val="24"/>
        </w:rPr>
        <w:t>Додатки до Програми</w:t>
      </w:r>
    </w:p>
    <w:p w:rsidR="006C04F7" w:rsidRDefault="006C04F7" w:rsidP="0086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462DD" w:rsidRPr="00865041" w:rsidRDefault="00C462DD" w:rsidP="0086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>Додаток 1. Паспорт Програми розвитку комунального автобусного транспорту міста Миколаєва</w:t>
      </w:r>
      <w:r w:rsidR="006C04F7">
        <w:rPr>
          <w:rFonts w:ascii="Times New Roman" w:hAnsi="Times New Roman" w:cs="Times New Roman"/>
          <w:sz w:val="28"/>
          <w:szCs w:val="24"/>
        </w:rPr>
        <w:t xml:space="preserve"> на 2020 – 2023 роки.</w:t>
      </w:r>
    </w:p>
    <w:p w:rsidR="00C462DD" w:rsidRPr="00865041" w:rsidRDefault="00400E66" w:rsidP="0086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 xml:space="preserve">Додаток 2. Перелік завдань і заходів </w:t>
      </w:r>
      <w:r w:rsidR="006C04F7" w:rsidRPr="00865041">
        <w:rPr>
          <w:rFonts w:ascii="Times New Roman" w:hAnsi="Times New Roman" w:cs="Times New Roman"/>
          <w:sz w:val="28"/>
          <w:szCs w:val="24"/>
        </w:rPr>
        <w:t>Програми розвитку комунального автобусного транспорту міста Миколаєва</w:t>
      </w:r>
      <w:r w:rsidR="006C04F7">
        <w:rPr>
          <w:rFonts w:ascii="Times New Roman" w:hAnsi="Times New Roman" w:cs="Times New Roman"/>
          <w:sz w:val="28"/>
          <w:szCs w:val="24"/>
        </w:rPr>
        <w:t xml:space="preserve"> на 2020 – 2023 роки.</w:t>
      </w:r>
    </w:p>
    <w:p w:rsidR="00400E66" w:rsidRPr="00865041" w:rsidRDefault="00400E66" w:rsidP="0086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 xml:space="preserve">Додаток 3. Результативні показники </w:t>
      </w:r>
      <w:r w:rsidR="006C04F7" w:rsidRPr="00865041">
        <w:rPr>
          <w:rFonts w:ascii="Times New Roman" w:hAnsi="Times New Roman" w:cs="Times New Roman"/>
          <w:sz w:val="28"/>
          <w:szCs w:val="24"/>
        </w:rPr>
        <w:t>Програми розвитку комунального автобусного транспорту міста Миколаєва</w:t>
      </w:r>
      <w:r w:rsidR="006C04F7">
        <w:rPr>
          <w:rFonts w:ascii="Times New Roman" w:hAnsi="Times New Roman" w:cs="Times New Roman"/>
          <w:sz w:val="28"/>
          <w:szCs w:val="24"/>
        </w:rPr>
        <w:t xml:space="preserve"> на 2020 – 2023 роки.</w:t>
      </w:r>
    </w:p>
    <w:p w:rsidR="000518C3" w:rsidRPr="00894D66" w:rsidRDefault="000518C3">
      <w:pPr>
        <w:rPr>
          <w:rFonts w:ascii="Times New Roman" w:hAnsi="Times New Roman" w:cs="Times New Roman"/>
          <w:sz w:val="24"/>
          <w:szCs w:val="24"/>
        </w:rPr>
      </w:pPr>
      <w:r w:rsidRPr="00894D66">
        <w:rPr>
          <w:rFonts w:ascii="Times New Roman" w:hAnsi="Times New Roman" w:cs="Times New Roman"/>
          <w:sz w:val="24"/>
          <w:szCs w:val="24"/>
        </w:rPr>
        <w:br w:type="page"/>
      </w:r>
    </w:p>
    <w:p w:rsidR="00C462DD" w:rsidRDefault="00400E66" w:rsidP="006E4B9D">
      <w:pPr>
        <w:spacing w:after="0"/>
        <w:ind w:left="851" w:firstLine="7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B66A6C" w:rsidRDefault="00B66A6C" w:rsidP="006E4B9D">
      <w:pPr>
        <w:spacing w:after="0"/>
        <w:ind w:left="851" w:firstLine="7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Програми</w:t>
      </w:r>
    </w:p>
    <w:p w:rsidR="00C462DD" w:rsidRDefault="00C462DD" w:rsidP="00C462DD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2DD" w:rsidRPr="00C44A71" w:rsidRDefault="00C462DD" w:rsidP="00B66A6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44A71">
        <w:rPr>
          <w:rFonts w:ascii="Times New Roman" w:hAnsi="Times New Roman" w:cs="Times New Roman"/>
          <w:sz w:val="28"/>
          <w:szCs w:val="28"/>
        </w:rPr>
        <w:t>ПАСПОРТ</w:t>
      </w:r>
    </w:p>
    <w:p w:rsidR="00B66A6C" w:rsidRDefault="00B66A6C" w:rsidP="00B66A6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65041">
        <w:rPr>
          <w:rFonts w:ascii="Times New Roman" w:hAnsi="Times New Roman" w:cs="Times New Roman"/>
          <w:sz w:val="28"/>
          <w:szCs w:val="24"/>
        </w:rPr>
        <w:t>Програми розвитку комунального автобусного транспорту міста Миколаєва</w:t>
      </w:r>
    </w:p>
    <w:p w:rsidR="00C462DD" w:rsidRDefault="00B66A6C" w:rsidP="00B66A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на 2020 – 2023 роки</w:t>
      </w:r>
    </w:p>
    <w:p w:rsidR="00C462DD" w:rsidRDefault="00C462DD" w:rsidP="00C462DD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562" w:type="dxa"/>
        <w:tblLook w:val="04A0" w:firstRow="1" w:lastRow="0" w:firstColumn="1" w:lastColumn="0" w:noHBand="0" w:noVBand="1"/>
      </w:tblPr>
      <w:tblGrid>
        <w:gridCol w:w="675"/>
        <w:gridCol w:w="4144"/>
        <w:gridCol w:w="4961"/>
      </w:tblGrid>
      <w:tr w:rsidR="00301096" w:rsidRPr="00A43346" w:rsidTr="00393DE8">
        <w:tc>
          <w:tcPr>
            <w:tcW w:w="675" w:type="dxa"/>
            <w:shd w:val="clear" w:color="auto" w:fill="auto"/>
          </w:tcPr>
          <w:p w:rsidR="00301096" w:rsidRPr="00B66A6C" w:rsidRDefault="000518C3" w:rsidP="00D93DF6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144" w:type="dxa"/>
            <w:shd w:val="clear" w:color="auto" w:fill="auto"/>
          </w:tcPr>
          <w:p w:rsidR="00301096" w:rsidRPr="00B66A6C" w:rsidRDefault="000518C3" w:rsidP="00D93DF6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Програму затверджено рішенням міської ради</w:t>
            </w:r>
          </w:p>
        </w:tc>
        <w:tc>
          <w:tcPr>
            <w:tcW w:w="4961" w:type="dxa"/>
            <w:shd w:val="clear" w:color="auto" w:fill="auto"/>
          </w:tcPr>
          <w:p w:rsidR="000518C3" w:rsidRPr="00B66A6C" w:rsidRDefault="000518C3" w:rsidP="000518C3">
            <w:pPr>
              <w:spacing w:after="0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від ________</w:t>
            </w:r>
            <w:r w:rsid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____</w:t>
            </w: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_ № ______</w:t>
            </w:r>
          </w:p>
          <w:p w:rsidR="00301096" w:rsidRPr="00B66A6C" w:rsidRDefault="00301096" w:rsidP="00D93DF6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0518C3" w:rsidRPr="00A43346" w:rsidTr="00393DE8">
        <w:tc>
          <w:tcPr>
            <w:tcW w:w="675" w:type="dxa"/>
            <w:shd w:val="clear" w:color="auto" w:fill="auto"/>
          </w:tcPr>
          <w:p w:rsidR="000518C3" w:rsidRPr="00B66A6C" w:rsidRDefault="000518C3" w:rsidP="000518C3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144" w:type="dxa"/>
            <w:shd w:val="clear" w:color="auto" w:fill="auto"/>
          </w:tcPr>
          <w:p w:rsidR="000518C3" w:rsidRPr="00B66A6C" w:rsidRDefault="000518C3" w:rsidP="00B66A6C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Ініціатор розроблення Програми</w:t>
            </w:r>
          </w:p>
        </w:tc>
        <w:tc>
          <w:tcPr>
            <w:tcW w:w="4961" w:type="dxa"/>
            <w:shd w:val="clear" w:color="auto" w:fill="auto"/>
          </w:tcPr>
          <w:p w:rsidR="000518C3" w:rsidRPr="00B66A6C" w:rsidRDefault="000518C3" w:rsidP="000518C3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Управління транспортного комплексу, зв'язку та телекомунікацій Миколаївської міської ради</w:t>
            </w:r>
          </w:p>
        </w:tc>
      </w:tr>
      <w:tr w:rsidR="000518C3" w:rsidRPr="00A43346" w:rsidTr="00393DE8">
        <w:tc>
          <w:tcPr>
            <w:tcW w:w="675" w:type="dxa"/>
            <w:shd w:val="clear" w:color="auto" w:fill="auto"/>
          </w:tcPr>
          <w:p w:rsidR="000518C3" w:rsidRPr="00B66A6C" w:rsidRDefault="000518C3" w:rsidP="00D93DF6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4144" w:type="dxa"/>
            <w:shd w:val="clear" w:color="auto" w:fill="auto"/>
          </w:tcPr>
          <w:p w:rsidR="000518C3" w:rsidRPr="00B66A6C" w:rsidRDefault="000518C3" w:rsidP="00B66A6C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Розробник Програми</w:t>
            </w:r>
          </w:p>
        </w:tc>
        <w:tc>
          <w:tcPr>
            <w:tcW w:w="4961" w:type="dxa"/>
            <w:shd w:val="clear" w:color="auto" w:fill="auto"/>
          </w:tcPr>
          <w:p w:rsidR="000518C3" w:rsidRPr="00B66A6C" w:rsidRDefault="000518C3" w:rsidP="000518C3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Управління транспортного комплексу, зв'язку та телекомунікацій Миколаївської міської ради</w:t>
            </w:r>
          </w:p>
        </w:tc>
      </w:tr>
      <w:tr w:rsidR="000518C3" w:rsidRPr="00A43346" w:rsidTr="00393DE8">
        <w:tc>
          <w:tcPr>
            <w:tcW w:w="675" w:type="dxa"/>
            <w:shd w:val="clear" w:color="auto" w:fill="auto"/>
          </w:tcPr>
          <w:p w:rsidR="000518C3" w:rsidRPr="00B66A6C" w:rsidRDefault="000518C3" w:rsidP="00D93DF6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4144" w:type="dxa"/>
            <w:shd w:val="clear" w:color="auto" w:fill="auto"/>
          </w:tcPr>
          <w:p w:rsidR="000518C3" w:rsidRPr="00B66A6C" w:rsidRDefault="000518C3" w:rsidP="00B66A6C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Співрозробники</w:t>
            </w:r>
            <w:proofErr w:type="spellEnd"/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0518C3" w:rsidRPr="00B66A6C" w:rsidRDefault="00514178" w:rsidP="00B66A6C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Комунальне підприємство Миколаївської міської ради «Миколаївпастранс»</w:t>
            </w:r>
          </w:p>
        </w:tc>
      </w:tr>
      <w:tr w:rsidR="000518C3" w:rsidRPr="00A43346" w:rsidTr="00393DE8">
        <w:tc>
          <w:tcPr>
            <w:tcW w:w="675" w:type="dxa"/>
            <w:shd w:val="clear" w:color="auto" w:fill="auto"/>
          </w:tcPr>
          <w:p w:rsidR="000518C3" w:rsidRPr="00B66A6C" w:rsidRDefault="000518C3" w:rsidP="00D93DF6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4144" w:type="dxa"/>
            <w:shd w:val="clear" w:color="auto" w:fill="auto"/>
          </w:tcPr>
          <w:p w:rsidR="000518C3" w:rsidRPr="00B66A6C" w:rsidRDefault="000518C3" w:rsidP="00B66A6C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Відповідальний виконавець Програми</w:t>
            </w:r>
          </w:p>
        </w:tc>
        <w:tc>
          <w:tcPr>
            <w:tcW w:w="4961" w:type="dxa"/>
            <w:shd w:val="clear" w:color="auto" w:fill="auto"/>
          </w:tcPr>
          <w:p w:rsidR="000518C3" w:rsidRPr="00B66A6C" w:rsidRDefault="000518C3" w:rsidP="00B66A6C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Управління транспортного комплексу, зв'язку та телекомунікацій Миколаївської міської ради</w:t>
            </w:r>
          </w:p>
        </w:tc>
      </w:tr>
      <w:tr w:rsidR="000518C3" w:rsidRPr="00A43346" w:rsidTr="00393DE8">
        <w:tc>
          <w:tcPr>
            <w:tcW w:w="675" w:type="dxa"/>
            <w:shd w:val="clear" w:color="auto" w:fill="auto"/>
          </w:tcPr>
          <w:p w:rsidR="000518C3" w:rsidRPr="00B66A6C" w:rsidRDefault="000518C3" w:rsidP="00D93DF6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4144" w:type="dxa"/>
            <w:shd w:val="clear" w:color="auto" w:fill="auto"/>
          </w:tcPr>
          <w:p w:rsidR="000518C3" w:rsidRPr="00B66A6C" w:rsidRDefault="000518C3" w:rsidP="00B66A6C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Співвиконавці</w:t>
            </w:r>
          </w:p>
        </w:tc>
        <w:tc>
          <w:tcPr>
            <w:tcW w:w="4961" w:type="dxa"/>
            <w:shd w:val="clear" w:color="auto" w:fill="auto"/>
          </w:tcPr>
          <w:p w:rsidR="000518C3" w:rsidRPr="00B66A6C" w:rsidRDefault="00514178" w:rsidP="00CD2A97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Виконавчий комітет Миколаївської міської ради</w:t>
            </w:r>
          </w:p>
        </w:tc>
      </w:tr>
      <w:tr w:rsidR="000518C3" w:rsidRPr="00A43346" w:rsidTr="00393DE8">
        <w:tc>
          <w:tcPr>
            <w:tcW w:w="675" w:type="dxa"/>
            <w:shd w:val="clear" w:color="auto" w:fill="auto"/>
          </w:tcPr>
          <w:p w:rsidR="000518C3" w:rsidRPr="00B66A6C" w:rsidRDefault="000518C3" w:rsidP="00D93DF6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4144" w:type="dxa"/>
            <w:shd w:val="clear" w:color="auto" w:fill="auto"/>
          </w:tcPr>
          <w:p w:rsidR="000518C3" w:rsidRPr="00B66A6C" w:rsidRDefault="000518C3" w:rsidP="00B66A6C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Термін виконання</w:t>
            </w:r>
          </w:p>
        </w:tc>
        <w:tc>
          <w:tcPr>
            <w:tcW w:w="4961" w:type="dxa"/>
            <w:shd w:val="clear" w:color="auto" w:fill="auto"/>
          </w:tcPr>
          <w:p w:rsidR="000518C3" w:rsidRPr="00B66A6C" w:rsidRDefault="000518C3" w:rsidP="00B66A6C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2020 - 2023 роки</w:t>
            </w:r>
          </w:p>
        </w:tc>
      </w:tr>
      <w:tr w:rsidR="000518C3" w:rsidRPr="00A43346" w:rsidTr="00393DE8">
        <w:tc>
          <w:tcPr>
            <w:tcW w:w="675" w:type="dxa"/>
            <w:shd w:val="clear" w:color="auto" w:fill="auto"/>
          </w:tcPr>
          <w:p w:rsidR="000518C3" w:rsidRPr="00B66A6C" w:rsidRDefault="000518C3" w:rsidP="00D93DF6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4144" w:type="dxa"/>
            <w:shd w:val="clear" w:color="auto" w:fill="auto"/>
          </w:tcPr>
          <w:p w:rsidR="000518C3" w:rsidRPr="00B66A6C" w:rsidRDefault="000518C3" w:rsidP="000518C3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B66A6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Обсяги та джерела фінансування</w:t>
            </w:r>
          </w:p>
        </w:tc>
        <w:tc>
          <w:tcPr>
            <w:tcW w:w="4961" w:type="dxa"/>
            <w:shd w:val="clear" w:color="auto" w:fill="auto"/>
          </w:tcPr>
          <w:p w:rsidR="000518C3" w:rsidRPr="00B66A6C" w:rsidRDefault="000518C3" w:rsidP="00B66A6C">
            <w:pPr>
              <w:widowControl w:val="0"/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40624D" w:rsidRDefault="0040624D" w:rsidP="00400E66">
      <w:pPr>
        <w:pStyle w:val="a3"/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B66A6C" w:rsidRDefault="00B66A6C" w:rsidP="00400E66">
      <w:pPr>
        <w:pStyle w:val="a3"/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1746"/>
        <w:gridCol w:w="1773"/>
        <w:gridCol w:w="1415"/>
        <w:gridCol w:w="1468"/>
        <w:gridCol w:w="1469"/>
        <w:gridCol w:w="1416"/>
      </w:tblGrid>
      <w:tr w:rsidR="0040624D" w:rsidTr="0040624D">
        <w:tc>
          <w:tcPr>
            <w:tcW w:w="1849" w:type="dxa"/>
            <w:vMerge w:val="restart"/>
            <w:vAlign w:val="center"/>
          </w:tcPr>
          <w:p w:rsidR="0040624D" w:rsidRPr="0040624D" w:rsidRDefault="0040624D" w:rsidP="00406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9" w:type="dxa"/>
            <w:vMerge w:val="restart"/>
            <w:vAlign w:val="center"/>
          </w:tcPr>
          <w:p w:rsidR="0040624D" w:rsidRPr="0040624D" w:rsidRDefault="0040624D" w:rsidP="00406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D">
              <w:rPr>
                <w:rFonts w:ascii="Times New Roman" w:hAnsi="Times New Roman" w:cs="Times New Roman"/>
                <w:sz w:val="24"/>
                <w:szCs w:val="24"/>
              </w:rPr>
              <w:t>Обсяг фінансування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1746E">
              <w:rPr>
                <w:rFonts w:ascii="Times New Roman" w:hAnsi="Times New Roman" w:cs="Times New Roman"/>
                <w:sz w:val="24"/>
                <w:szCs w:val="24"/>
              </w:rPr>
              <w:t>с.грн</w:t>
            </w:r>
            <w:proofErr w:type="spellEnd"/>
          </w:p>
        </w:tc>
        <w:tc>
          <w:tcPr>
            <w:tcW w:w="6417" w:type="dxa"/>
            <w:gridSpan w:val="4"/>
            <w:vAlign w:val="center"/>
          </w:tcPr>
          <w:p w:rsidR="0040624D" w:rsidRPr="0040624D" w:rsidRDefault="0040624D" w:rsidP="008455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D">
              <w:rPr>
                <w:rFonts w:ascii="Times New Roman" w:hAnsi="Times New Roman" w:cs="Times New Roman"/>
                <w:sz w:val="24"/>
                <w:szCs w:val="24"/>
              </w:rPr>
              <w:t>У тому числі за 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тис.</w:t>
            </w:r>
            <w:r w:rsidR="008455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1746E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</w:tr>
      <w:tr w:rsidR="0040624D" w:rsidTr="0040624D">
        <w:tc>
          <w:tcPr>
            <w:tcW w:w="1849" w:type="dxa"/>
            <w:vMerge/>
            <w:vAlign w:val="center"/>
          </w:tcPr>
          <w:p w:rsidR="0040624D" w:rsidRPr="0040624D" w:rsidRDefault="0040624D" w:rsidP="00406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40624D" w:rsidRPr="0040624D" w:rsidRDefault="0040624D" w:rsidP="00406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40624D" w:rsidRPr="0040624D" w:rsidRDefault="0040624D" w:rsidP="00406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04" w:type="dxa"/>
            <w:vAlign w:val="center"/>
          </w:tcPr>
          <w:p w:rsidR="0040624D" w:rsidRPr="0040624D" w:rsidRDefault="0040624D" w:rsidP="00406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5" w:type="dxa"/>
            <w:vAlign w:val="center"/>
          </w:tcPr>
          <w:p w:rsidR="0040624D" w:rsidRPr="0040624D" w:rsidRDefault="0040624D" w:rsidP="00406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05" w:type="dxa"/>
            <w:vAlign w:val="center"/>
          </w:tcPr>
          <w:p w:rsidR="0040624D" w:rsidRPr="0040624D" w:rsidRDefault="0040624D" w:rsidP="00406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0624D" w:rsidTr="0040624D">
        <w:tc>
          <w:tcPr>
            <w:tcW w:w="1849" w:type="dxa"/>
            <w:vAlign w:val="center"/>
          </w:tcPr>
          <w:p w:rsidR="0040624D" w:rsidRPr="0040624D" w:rsidRDefault="0040624D" w:rsidP="00583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D">
              <w:rPr>
                <w:rFonts w:ascii="Times New Roman" w:hAnsi="Times New Roman" w:cs="Times New Roman"/>
                <w:sz w:val="24"/>
                <w:szCs w:val="24"/>
              </w:rPr>
              <w:t>Кошти міського бюджету</w:t>
            </w:r>
            <w:r w:rsidR="00583269">
              <w:rPr>
                <w:rFonts w:ascii="Times New Roman" w:hAnsi="Times New Roman" w:cs="Times New Roman"/>
                <w:sz w:val="24"/>
                <w:szCs w:val="24"/>
              </w:rPr>
              <w:t xml:space="preserve"> та кредитні кошти</w:t>
            </w:r>
          </w:p>
        </w:tc>
        <w:tc>
          <w:tcPr>
            <w:tcW w:w="1849" w:type="dxa"/>
            <w:vAlign w:val="center"/>
          </w:tcPr>
          <w:p w:rsidR="0040624D" w:rsidRPr="0040624D" w:rsidRDefault="0040624D" w:rsidP="00583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326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40624D">
              <w:rPr>
                <w:rFonts w:ascii="Times New Roman" w:hAnsi="Times New Roman" w:cs="Times New Roman"/>
                <w:sz w:val="24"/>
                <w:szCs w:val="24"/>
              </w:rPr>
              <w:t> 660,00</w:t>
            </w:r>
          </w:p>
        </w:tc>
        <w:tc>
          <w:tcPr>
            <w:tcW w:w="1603" w:type="dxa"/>
            <w:vAlign w:val="center"/>
          </w:tcPr>
          <w:p w:rsidR="0040624D" w:rsidRPr="0040624D" w:rsidRDefault="0040624D" w:rsidP="00583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3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32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604" w:type="dxa"/>
            <w:vAlign w:val="center"/>
          </w:tcPr>
          <w:p w:rsidR="0040624D" w:rsidRPr="0040624D" w:rsidRDefault="0040624D" w:rsidP="00583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26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3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605" w:type="dxa"/>
            <w:vAlign w:val="center"/>
          </w:tcPr>
          <w:p w:rsidR="0040624D" w:rsidRPr="0040624D" w:rsidRDefault="0040624D" w:rsidP="00406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132 610,00</w:t>
            </w:r>
          </w:p>
        </w:tc>
        <w:tc>
          <w:tcPr>
            <w:tcW w:w="1605" w:type="dxa"/>
            <w:vAlign w:val="center"/>
          </w:tcPr>
          <w:p w:rsidR="0040624D" w:rsidRPr="0040624D" w:rsidRDefault="0040624D" w:rsidP="00406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</w:tbl>
    <w:p w:rsidR="00F708EB" w:rsidRDefault="00F708EB" w:rsidP="00400E66">
      <w:pPr>
        <w:pStyle w:val="a3"/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F708EB" w:rsidRDefault="00F708EB" w:rsidP="00400E66">
      <w:pPr>
        <w:pStyle w:val="a3"/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0518C3" w:rsidRDefault="000518C3" w:rsidP="0040624D">
      <w:pPr>
        <w:tabs>
          <w:tab w:val="left" w:pos="7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5EB9" w:rsidRDefault="00E45EB9" w:rsidP="00B1746E">
      <w:pPr>
        <w:spacing w:after="0"/>
        <w:ind w:left="851" w:firstLine="7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01096" w:rsidRDefault="00E45EB9" w:rsidP="00B1746E">
      <w:pPr>
        <w:pStyle w:val="a3"/>
        <w:spacing w:after="0"/>
        <w:ind w:left="851" w:firstLine="7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Програми</w:t>
      </w:r>
    </w:p>
    <w:p w:rsidR="00400E66" w:rsidRPr="00400E66" w:rsidRDefault="00400E66" w:rsidP="00F50DCA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400E66" w:rsidRDefault="00400E66" w:rsidP="00F50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E66">
        <w:rPr>
          <w:rFonts w:ascii="Times New Roman" w:hAnsi="Times New Roman" w:cs="Times New Roman"/>
          <w:sz w:val="28"/>
          <w:szCs w:val="28"/>
        </w:rPr>
        <w:t>завдань і заходів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2DD">
        <w:rPr>
          <w:rFonts w:ascii="Times New Roman" w:hAnsi="Times New Roman" w:cs="Times New Roman"/>
          <w:sz w:val="28"/>
          <w:szCs w:val="28"/>
        </w:rPr>
        <w:t>Програми розвитку комунального автобусного транспорту міста Миколаєва</w:t>
      </w:r>
      <w:r w:rsidR="00F50DCA">
        <w:rPr>
          <w:rFonts w:ascii="Times New Roman" w:hAnsi="Times New Roman" w:cs="Times New Roman"/>
          <w:sz w:val="28"/>
          <w:szCs w:val="28"/>
        </w:rPr>
        <w:t xml:space="preserve"> на 2020 – 2023 роки</w:t>
      </w:r>
    </w:p>
    <w:tbl>
      <w:tblPr>
        <w:tblStyle w:val="a8"/>
        <w:tblW w:w="10163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1329"/>
        <w:gridCol w:w="1165"/>
        <w:gridCol w:w="672"/>
        <w:gridCol w:w="1391"/>
        <w:gridCol w:w="849"/>
        <w:gridCol w:w="712"/>
        <w:gridCol w:w="790"/>
        <w:gridCol w:w="858"/>
        <w:gridCol w:w="787"/>
        <w:gridCol w:w="17"/>
        <w:gridCol w:w="1154"/>
        <w:gridCol w:w="17"/>
      </w:tblGrid>
      <w:tr w:rsidR="00B1746E" w:rsidTr="00CF5014">
        <w:trPr>
          <w:jc w:val="center"/>
        </w:trPr>
        <w:tc>
          <w:tcPr>
            <w:tcW w:w="422" w:type="dxa"/>
            <w:vMerge w:val="restart"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1329" w:type="dxa"/>
            <w:vMerge w:val="restart"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1165" w:type="dxa"/>
            <w:vMerge w:val="restart"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Перелік заходів Програми</w:t>
            </w:r>
          </w:p>
        </w:tc>
        <w:tc>
          <w:tcPr>
            <w:tcW w:w="672" w:type="dxa"/>
            <w:vMerge w:val="restart"/>
            <w:vAlign w:val="center"/>
          </w:tcPr>
          <w:p w:rsidR="00B56F3D" w:rsidRPr="00B56F3D" w:rsidRDefault="00B56F3D" w:rsidP="00B318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Строк вико</w:t>
            </w:r>
            <w:r w:rsidR="00B31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  <w:proofErr w:type="spellStart"/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нання</w:t>
            </w:r>
            <w:proofErr w:type="spellEnd"/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заходу</w:t>
            </w:r>
          </w:p>
        </w:tc>
        <w:tc>
          <w:tcPr>
            <w:tcW w:w="1391" w:type="dxa"/>
            <w:vMerge w:val="restart"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Виконавці</w:t>
            </w:r>
          </w:p>
        </w:tc>
        <w:tc>
          <w:tcPr>
            <w:tcW w:w="4013" w:type="dxa"/>
            <w:gridSpan w:val="6"/>
            <w:vAlign w:val="center"/>
          </w:tcPr>
          <w:p w:rsidR="00B56F3D" w:rsidRPr="00B56F3D" w:rsidRDefault="00B56F3D" w:rsidP="00B17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Орієнтовні обсяги фінансування (</w:t>
            </w:r>
            <w:proofErr w:type="spellStart"/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тис.грн</w:t>
            </w:r>
            <w:proofErr w:type="spellEnd"/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1171" w:type="dxa"/>
            <w:gridSpan w:val="2"/>
            <w:vMerge w:val="restart"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0" w:name="_GoBack"/>
            <w:bookmarkEnd w:id="0"/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Очікуваний результат</w:t>
            </w:r>
          </w:p>
        </w:tc>
      </w:tr>
      <w:tr w:rsidR="004A36D2" w:rsidTr="00CF5014">
        <w:trPr>
          <w:jc w:val="center"/>
        </w:trPr>
        <w:tc>
          <w:tcPr>
            <w:tcW w:w="422" w:type="dxa"/>
            <w:vMerge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9" w:type="dxa"/>
            <w:vMerge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65" w:type="dxa"/>
            <w:vMerge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72" w:type="dxa"/>
            <w:vMerge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91" w:type="dxa"/>
            <w:vMerge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Всього</w:t>
            </w:r>
          </w:p>
        </w:tc>
        <w:tc>
          <w:tcPr>
            <w:tcW w:w="3164" w:type="dxa"/>
            <w:gridSpan w:val="5"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тому числі за роками</w:t>
            </w:r>
          </w:p>
        </w:tc>
        <w:tc>
          <w:tcPr>
            <w:tcW w:w="1171" w:type="dxa"/>
            <w:gridSpan w:val="2"/>
            <w:vMerge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B318ED" w:rsidTr="00CF5014">
        <w:trPr>
          <w:gridAfter w:val="1"/>
          <w:wAfter w:w="17" w:type="dxa"/>
          <w:jc w:val="center"/>
        </w:trPr>
        <w:tc>
          <w:tcPr>
            <w:tcW w:w="422" w:type="dxa"/>
            <w:vMerge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9" w:type="dxa"/>
            <w:vMerge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65" w:type="dxa"/>
            <w:vMerge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72" w:type="dxa"/>
            <w:vMerge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91" w:type="dxa"/>
            <w:vMerge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49" w:type="dxa"/>
            <w:vMerge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12" w:type="dxa"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2020</w:t>
            </w:r>
          </w:p>
        </w:tc>
        <w:tc>
          <w:tcPr>
            <w:tcW w:w="790" w:type="dxa"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2021</w:t>
            </w:r>
          </w:p>
        </w:tc>
        <w:tc>
          <w:tcPr>
            <w:tcW w:w="858" w:type="dxa"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2022</w:t>
            </w:r>
          </w:p>
        </w:tc>
        <w:tc>
          <w:tcPr>
            <w:tcW w:w="787" w:type="dxa"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2023</w:t>
            </w:r>
          </w:p>
        </w:tc>
        <w:tc>
          <w:tcPr>
            <w:tcW w:w="1171" w:type="dxa"/>
            <w:gridSpan w:val="2"/>
            <w:vAlign w:val="center"/>
          </w:tcPr>
          <w:p w:rsidR="00B56F3D" w:rsidRPr="00B56F3D" w:rsidRDefault="00B56F3D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B318ED" w:rsidTr="00CF5014">
        <w:trPr>
          <w:gridAfter w:val="1"/>
          <w:wAfter w:w="17" w:type="dxa"/>
          <w:jc w:val="center"/>
        </w:trPr>
        <w:tc>
          <w:tcPr>
            <w:tcW w:w="422" w:type="dxa"/>
            <w:vMerge w:val="restart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29" w:type="dxa"/>
            <w:vMerge w:val="restart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Забезпечення потреб населення у громадському автомобільному транспорті</w:t>
            </w:r>
          </w:p>
        </w:tc>
        <w:tc>
          <w:tcPr>
            <w:tcW w:w="1165" w:type="dxa"/>
            <w:vMerge w:val="restart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Придбання нового рухомого складу </w:t>
            </w:r>
            <w:r w:rsidR="00B17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</w:t>
            </w:r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автобуси)</w:t>
            </w:r>
          </w:p>
        </w:tc>
        <w:tc>
          <w:tcPr>
            <w:tcW w:w="672" w:type="dxa"/>
            <w:vMerge w:val="restart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2020-2021</w:t>
            </w:r>
          </w:p>
        </w:tc>
        <w:tc>
          <w:tcPr>
            <w:tcW w:w="1391" w:type="dxa"/>
            <w:vMerge w:val="restart"/>
            <w:vAlign w:val="center"/>
          </w:tcPr>
          <w:p w:rsidR="009D7DB9" w:rsidRPr="00B56F3D" w:rsidRDefault="009C0F7A" w:rsidP="004A36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C0F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Управління</w:t>
            </w:r>
            <w:r w:rsidR="004A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9C0F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транспортного комплексу, зв'язку та телекомунікацій</w:t>
            </w:r>
            <w:r w:rsidR="00CD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, </w:t>
            </w:r>
            <w:r w:rsidR="004A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</w:t>
            </w:r>
            <w:r w:rsidR="00CD2A97" w:rsidRPr="00CD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иконавчий комітет Миколаївської міської ради</w:t>
            </w:r>
          </w:p>
        </w:tc>
        <w:tc>
          <w:tcPr>
            <w:tcW w:w="849" w:type="dxa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Всього</w:t>
            </w:r>
          </w:p>
        </w:tc>
        <w:tc>
          <w:tcPr>
            <w:tcW w:w="712" w:type="dxa"/>
            <w:vAlign w:val="center"/>
          </w:tcPr>
          <w:p w:rsidR="009D7DB9" w:rsidRPr="00B56F3D" w:rsidRDefault="009D7DB9" w:rsidP="00CF5014">
            <w:pPr>
              <w:ind w:left="-1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  <w:r w:rsidR="005832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  <w:r w:rsidR="005832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00,0</w:t>
            </w:r>
          </w:p>
        </w:tc>
        <w:tc>
          <w:tcPr>
            <w:tcW w:w="790" w:type="dxa"/>
            <w:vAlign w:val="center"/>
          </w:tcPr>
          <w:p w:rsidR="009D7DB9" w:rsidRPr="00B56F3D" w:rsidRDefault="009D7DB9" w:rsidP="00CF5014">
            <w:pPr>
              <w:ind w:left="-1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  <w:r w:rsidR="005832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45 8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00,0</w:t>
            </w:r>
          </w:p>
        </w:tc>
        <w:tc>
          <w:tcPr>
            <w:tcW w:w="858" w:type="dxa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7" w:type="dxa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71" w:type="dxa"/>
            <w:gridSpan w:val="2"/>
            <w:vMerge w:val="restart"/>
            <w:vAlign w:val="center"/>
          </w:tcPr>
          <w:p w:rsidR="009D7DB9" w:rsidRPr="00B56F3D" w:rsidRDefault="009D7DB9" w:rsidP="00B17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Збільшення кількості комунально</w:t>
            </w:r>
            <w:r w:rsidR="00B17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транспорту</w:t>
            </w:r>
          </w:p>
        </w:tc>
      </w:tr>
      <w:tr w:rsidR="00B318ED" w:rsidTr="00CF5014">
        <w:trPr>
          <w:gridAfter w:val="1"/>
          <w:wAfter w:w="17" w:type="dxa"/>
          <w:jc w:val="center"/>
        </w:trPr>
        <w:tc>
          <w:tcPr>
            <w:tcW w:w="422" w:type="dxa"/>
            <w:vMerge/>
            <w:vAlign w:val="center"/>
          </w:tcPr>
          <w:p w:rsidR="00583269" w:rsidRPr="00B56F3D" w:rsidRDefault="0058326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9" w:type="dxa"/>
            <w:vMerge/>
            <w:vAlign w:val="center"/>
          </w:tcPr>
          <w:p w:rsidR="00583269" w:rsidRPr="00B56F3D" w:rsidRDefault="0058326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65" w:type="dxa"/>
            <w:vMerge/>
            <w:vAlign w:val="center"/>
          </w:tcPr>
          <w:p w:rsidR="00583269" w:rsidRPr="00B56F3D" w:rsidRDefault="0058326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72" w:type="dxa"/>
            <w:vMerge/>
            <w:vAlign w:val="center"/>
          </w:tcPr>
          <w:p w:rsidR="00583269" w:rsidRPr="00B56F3D" w:rsidRDefault="0058326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91" w:type="dxa"/>
            <w:vMerge/>
            <w:vAlign w:val="center"/>
          </w:tcPr>
          <w:p w:rsidR="00583269" w:rsidRPr="00B56F3D" w:rsidRDefault="0058326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49" w:type="dxa"/>
            <w:vAlign w:val="center"/>
          </w:tcPr>
          <w:p w:rsidR="00583269" w:rsidRPr="00B56F3D" w:rsidRDefault="0058326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 тому числі кошти міського бюджету</w:t>
            </w:r>
          </w:p>
        </w:tc>
        <w:tc>
          <w:tcPr>
            <w:tcW w:w="712" w:type="dxa"/>
            <w:vAlign w:val="center"/>
          </w:tcPr>
          <w:p w:rsidR="00583269" w:rsidRPr="00B56F3D" w:rsidRDefault="00583269" w:rsidP="00CF5014">
            <w:pPr>
              <w:ind w:left="-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16 200,0</w:t>
            </w:r>
          </w:p>
        </w:tc>
        <w:tc>
          <w:tcPr>
            <w:tcW w:w="790" w:type="dxa"/>
            <w:vAlign w:val="center"/>
          </w:tcPr>
          <w:p w:rsidR="00583269" w:rsidRPr="00B56F3D" w:rsidRDefault="00583269" w:rsidP="00CF5014">
            <w:pPr>
              <w:ind w:left="-1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145 800,0</w:t>
            </w:r>
          </w:p>
        </w:tc>
        <w:tc>
          <w:tcPr>
            <w:tcW w:w="858" w:type="dxa"/>
            <w:vAlign w:val="center"/>
          </w:tcPr>
          <w:p w:rsidR="00583269" w:rsidRPr="00B56F3D" w:rsidRDefault="0058326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7" w:type="dxa"/>
            <w:vAlign w:val="center"/>
          </w:tcPr>
          <w:p w:rsidR="00583269" w:rsidRPr="00B56F3D" w:rsidRDefault="0058326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71" w:type="dxa"/>
            <w:gridSpan w:val="2"/>
            <w:vMerge/>
            <w:vAlign w:val="center"/>
          </w:tcPr>
          <w:p w:rsidR="00583269" w:rsidRPr="00B56F3D" w:rsidRDefault="0058326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B318ED" w:rsidTr="00CF5014">
        <w:trPr>
          <w:gridAfter w:val="1"/>
          <w:wAfter w:w="17" w:type="dxa"/>
          <w:jc w:val="center"/>
        </w:trPr>
        <w:tc>
          <w:tcPr>
            <w:tcW w:w="422" w:type="dxa"/>
            <w:vMerge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9" w:type="dxa"/>
            <w:vMerge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65" w:type="dxa"/>
            <w:vMerge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72" w:type="dxa"/>
            <w:vMerge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91" w:type="dxa"/>
            <w:vMerge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49" w:type="dxa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Інші джерела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фінансу</w:t>
            </w:r>
            <w:r w:rsidR="00B31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вання</w:t>
            </w:r>
            <w:proofErr w:type="spellEnd"/>
          </w:p>
        </w:tc>
        <w:tc>
          <w:tcPr>
            <w:tcW w:w="712" w:type="dxa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90" w:type="dxa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8" w:type="dxa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7" w:type="dxa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71" w:type="dxa"/>
            <w:gridSpan w:val="2"/>
            <w:vMerge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B318ED" w:rsidTr="00CF5014">
        <w:trPr>
          <w:gridAfter w:val="1"/>
          <w:wAfter w:w="17" w:type="dxa"/>
          <w:jc w:val="center"/>
        </w:trPr>
        <w:tc>
          <w:tcPr>
            <w:tcW w:w="422" w:type="dxa"/>
            <w:vMerge w:val="restart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29" w:type="dxa"/>
            <w:vMerge w:val="restart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Фінансова підтримка КП ММР «Миколаїв</w:t>
            </w:r>
            <w:r w:rsidR="00B31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пастранс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»</w:t>
            </w:r>
          </w:p>
        </w:tc>
        <w:tc>
          <w:tcPr>
            <w:tcW w:w="1165" w:type="dxa"/>
            <w:vMerge w:val="restart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D7D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Фінансове забезпечення погашення частини вартості предмета фінансового лізингу за договором від 13.02.2019 №1070-ЛД</w:t>
            </w:r>
          </w:p>
        </w:tc>
        <w:tc>
          <w:tcPr>
            <w:tcW w:w="672" w:type="dxa"/>
            <w:vMerge w:val="restart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2020-2022</w:t>
            </w:r>
          </w:p>
        </w:tc>
        <w:tc>
          <w:tcPr>
            <w:tcW w:w="1391" w:type="dxa"/>
            <w:vMerge w:val="restart"/>
            <w:vAlign w:val="center"/>
          </w:tcPr>
          <w:p w:rsidR="009D7DB9" w:rsidRPr="00B56F3D" w:rsidRDefault="00CD2A97" w:rsidP="004A36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C0F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Управління</w:t>
            </w:r>
            <w:r w:rsidR="004A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9C0F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транспортного комплексу, зв'язку та телекомунікацій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, </w:t>
            </w:r>
            <w:r w:rsidR="004A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</w:t>
            </w:r>
            <w:r w:rsidRPr="00CD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иконавчий комітет Миколаївської міської ради</w:t>
            </w:r>
          </w:p>
        </w:tc>
        <w:tc>
          <w:tcPr>
            <w:tcW w:w="849" w:type="dxa"/>
            <w:vAlign w:val="center"/>
          </w:tcPr>
          <w:p w:rsidR="009D7DB9" w:rsidRPr="00B56F3D" w:rsidRDefault="009D7DB9" w:rsidP="00F81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Всього</w:t>
            </w:r>
          </w:p>
        </w:tc>
        <w:tc>
          <w:tcPr>
            <w:tcW w:w="712" w:type="dxa"/>
            <w:vAlign w:val="center"/>
          </w:tcPr>
          <w:p w:rsidR="009D7DB9" w:rsidRPr="00B56F3D" w:rsidRDefault="009D7DB9" w:rsidP="00CF5014">
            <w:pPr>
              <w:ind w:left="-1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17 350,0</w:t>
            </w:r>
          </w:p>
        </w:tc>
        <w:tc>
          <w:tcPr>
            <w:tcW w:w="790" w:type="dxa"/>
            <w:vAlign w:val="center"/>
          </w:tcPr>
          <w:p w:rsidR="009D7DB9" w:rsidRPr="00B56F3D" w:rsidRDefault="009D7DB9" w:rsidP="00CF5014">
            <w:pPr>
              <w:ind w:left="-1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17 350,0</w:t>
            </w:r>
          </w:p>
        </w:tc>
        <w:tc>
          <w:tcPr>
            <w:tcW w:w="858" w:type="dxa"/>
            <w:vAlign w:val="center"/>
          </w:tcPr>
          <w:p w:rsidR="009D7DB9" w:rsidRPr="00B56F3D" w:rsidRDefault="009D7DB9" w:rsidP="00827F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7 250,0</w:t>
            </w:r>
          </w:p>
        </w:tc>
        <w:tc>
          <w:tcPr>
            <w:tcW w:w="787" w:type="dxa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71" w:type="dxa"/>
            <w:gridSpan w:val="2"/>
            <w:vMerge w:val="restart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Забезпечення </w:t>
            </w:r>
            <w:r w:rsidR="00F81492" w:rsidRPr="009D7D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погашення частини вартості предмета фінансового лізингу за договором від 13.02.2019 №1070-ЛД</w:t>
            </w:r>
          </w:p>
        </w:tc>
      </w:tr>
      <w:tr w:rsidR="00B318ED" w:rsidTr="00CF5014">
        <w:trPr>
          <w:gridAfter w:val="1"/>
          <w:wAfter w:w="17" w:type="dxa"/>
          <w:jc w:val="center"/>
        </w:trPr>
        <w:tc>
          <w:tcPr>
            <w:tcW w:w="422" w:type="dxa"/>
            <w:vMerge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9" w:type="dxa"/>
            <w:vMerge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65" w:type="dxa"/>
            <w:vMerge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72" w:type="dxa"/>
            <w:vMerge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91" w:type="dxa"/>
            <w:vMerge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49" w:type="dxa"/>
            <w:vAlign w:val="center"/>
          </w:tcPr>
          <w:p w:rsidR="009D7DB9" w:rsidRPr="00B56F3D" w:rsidRDefault="009D7DB9" w:rsidP="00F81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 тому числі кошти міського бюджету</w:t>
            </w:r>
          </w:p>
        </w:tc>
        <w:tc>
          <w:tcPr>
            <w:tcW w:w="712" w:type="dxa"/>
            <w:vAlign w:val="center"/>
          </w:tcPr>
          <w:p w:rsidR="009D7DB9" w:rsidRPr="00B56F3D" w:rsidRDefault="009D7DB9" w:rsidP="00CF5014">
            <w:pPr>
              <w:ind w:left="-14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17 350,0</w:t>
            </w:r>
          </w:p>
        </w:tc>
        <w:tc>
          <w:tcPr>
            <w:tcW w:w="790" w:type="dxa"/>
            <w:vAlign w:val="center"/>
          </w:tcPr>
          <w:p w:rsidR="009D7DB9" w:rsidRPr="00B56F3D" w:rsidRDefault="009D7DB9" w:rsidP="00CF5014">
            <w:pPr>
              <w:ind w:left="-1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17 350,0</w:t>
            </w:r>
          </w:p>
        </w:tc>
        <w:tc>
          <w:tcPr>
            <w:tcW w:w="858" w:type="dxa"/>
            <w:vAlign w:val="center"/>
          </w:tcPr>
          <w:p w:rsidR="009D7DB9" w:rsidRPr="00B56F3D" w:rsidRDefault="009D7DB9" w:rsidP="00827F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7 250,0</w:t>
            </w:r>
          </w:p>
        </w:tc>
        <w:tc>
          <w:tcPr>
            <w:tcW w:w="787" w:type="dxa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71" w:type="dxa"/>
            <w:gridSpan w:val="2"/>
            <w:vMerge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B318ED" w:rsidTr="00CF5014">
        <w:trPr>
          <w:gridAfter w:val="1"/>
          <w:wAfter w:w="17" w:type="dxa"/>
          <w:jc w:val="center"/>
        </w:trPr>
        <w:tc>
          <w:tcPr>
            <w:tcW w:w="422" w:type="dxa"/>
            <w:vMerge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9" w:type="dxa"/>
            <w:vMerge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65" w:type="dxa"/>
            <w:vMerge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72" w:type="dxa"/>
            <w:vMerge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91" w:type="dxa"/>
            <w:vMerge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49" w:type="dxa"/>
            <w:vAlign w:val="center"/>
          </w:tcPr>
          <w:p w:rsidR="009D7DB9" w:rsidRPr="00B56F3D" w:rsidRDefault="009D7DB9" w:rsidP="00F81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Інші джерела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фінансу</w:t>
            </w:r>
            <w:r w:rsidR="00B31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вання</w:t>
            </w:r>
            <w:proofErr w:type="spellEnd"/>
          </w:p>
        </w:tc>
        <w:tc>
          <w:tcPr>
            <w:tcW w:w="712" w:type="dxa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90" w:type="dxa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8" w:type="dxa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7" w:type="dxa"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71" w:type="dxa"/>
            <w:gridSpan w:val="2"/>
            <w:vMerge/>
            <w:vAlign w:val="center"/>
          </w:tcPr>
          <w:p w:rsidR="009D7DB9" w:rsidRPr="00B56F3D" w:rsidRDefault="009D7DB9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B318ED" w:rsidTr="00CF5014">
        <w:trPr>
          <w:gridAfter w:val="1"/>
          <w:wAfter w:w="17" w:type="dxa"/>
          <w:jc w:val="center"/>
        </w:trPr>
        <w:tc>
          <w:tcPr>
            <w:tcW w:w="422" w:type="dxa"/>
            <w:vMerge w:val="restart"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9" w:type="dxa"/>
            <w:vMerge w:val="restart"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65" w:type="dxa"/>
            <w:vMerge w:val="restart"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8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Фінансове забезпечення погашення відсотків фінансового лізингу за договором від 13.02.2019 №1070-ЛД</w:t>
            </w:r>
          </w:p>
        </w:tc>
        <w:tc>
          <w:tcPr>
            <w:tcW w:w="672" w:type="dxa"/>
            <w:vMerge w:val="restart"/>
            <w:vAlign w:val="center"/>
          </w:tcPr>
          <w:p w:rsidR="00F81492" w:rsidRPr="00B56F3D" w:rsidRDefault="00F81492" w:rsidP="00F81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2020-2022</w:t>
            </w:r>
          </w:p>
        </w:tc>
        <w:tc>
          <w:tcPr>
            <w:tcW w:w="1391" w:type="dxa"/>
            <w:vMerge w:val="restart"/>
            <w:vAlign w:val="center"/>
          </w:tcPr>
          <w:p w:rsidR="00F81492" w:rsidRPr="00B56F3D" w:rsidRDefault="00CD2A97" w:rsidP="004A36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C0F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Управління</w:t>
            </w:r>
            <w:r w:rsidR="004A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9C0F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транспортного комплексу, зв'язку та телекомунікацій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, </w:t>
            </w:r>
            <w:r w:rsidR="004A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</w:t>
            </w:r>
            <w:r w:rsidRPr="00CD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иконавчий комітет Миколаївської міської ради</w:t>
            </w:r>
          </w:p>
        </w:tc>
        <w:tc>
          <w:tcPr>
            <w:tcW w:w="849" w:type="dxa"/>
            <w:vAlign w:val="center"/>
          </w:tcPr>
          <w:p w:rsidR="00F81492" w:rsidRPr="00B56F3D" w:rsidRDefault="00F81492" w:rsidP="00F81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Всього</w:t>
            </w:r>
          </w:p>
        </w:tc>
        <w:tc>
          <w:tcPr>
            <w:tcW w:w="712" w:type="dxa"/>
            <w:vAlign w:val="center"/>
          </w:tcPr>
          <w:p w:rsidR="00F81492" w:rsidRPr="00B56F3D" w:rsidRDefault="00F81492" w:rsidP="00CF5014">
            <w:pPr>
              <w:ind w:left="-1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10 200,0</w:t>
            </w:r>
          </w:p>
        </w:tc>
        <w:tc>
          <w:tcPr>
            <w:tcW w:w="790" w:type="dxa"/>
            <w:vAlign w:val="center"/>
          </w:tcPr>
          <w:p w:rsidR="00F81492" w:rsidRPr="00B56F3D" w:rsidRDefault="00F81492" w:rsidP="00827F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6 150,0</w:t>
            </w:r>
          </w:p>
        </w:tc>
        <w:tc>
          <w:tcPr>
            <w:tcW w:w="858" w:type="dxa"/>
            <w:vAlign w:val="center"/>
          </w:tcPr>
          <w:p w:rsidR="00F81492" w:rsidRPr="00B56F3D" w:rsidRDefault="00F81492" w:rsidP="00827F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1 360,0</w:t>
            </w:r>
          </w:p>
        </w:tc>
        <w:tc>
          <w:tcPr>
            <w:tcW w:w="787" w:type="dxa"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71" w:type="dxa"/>
            <w:gridSpan w:val="2"/>
            <w:vMerge w:val="restart"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</w:t>
            </w:r>
            <w:r w:rsidRPr="00F8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абезпечення погашення відсотків фінансового лізингу за договором від 13.02.2019 №1070-ЛД</w:t>
            </w:r>
          </w:p>
        </w:tc>
      </w:tr>
      <w:tr w:rsidR="00B318ED" w:rsidTr="00CF5014">
        <w:trPr>
          <w:gridAfter w:val="1"/>
          <w:wAfter w:w="17" w:type="dxa"/>
          <w:jc w:val="center"/>
        </w:trPr>
        <w:tc>
          <w:tcPr>
            <w:tcW w:w="422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9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65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72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91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49" w:type="dxa"/>
            <w:vAlign w:val="center"/>
          </w:tcPr>
          <w:p w:rsidR="00F81492" w:rsidRPr="00B56F3D" w:rsidRDefault="00F81492" w:rsidP="00F81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 тому числі кошти міського бюджету</w:t>
            </w:r>
          </w:p>
        </w:tc>
        <w:tc>
          <w:tcPr>
            <w:tcW w:w="712" w:type="dxa"/>
            <w:vAlign w:val="center"/>
          </w:tcPr>
          <w:p w:rsidR="00F81492" w:rsidRPr="00B56F3D" w:rsidRDefault="00F81492" w:rsidP="00CF5014">
            <w:pPr>
              <w:ind w:left="-14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10 200,0</w:t>
            </w:r>
          </w:p>
        </w:tc>
        <w:tc>
          <w:tcPr>
            <w:tcW w:w="790" w:type="dxa"/>
            <w:vAlign w:val="center"/>
          </w:tcPr>
          <w:p w:rsidR="00F81492" w:rsidRPr="00B56F3D" w:rsidRDefault="00F81492" w:rsidP="00827F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6 150,0</w:t>
            </w:r>
          </w:p>
        </w:tc>
        <w:tc>
          <w:tcPr>
            <w:tcW w:w="858" w:type="dxa"/>
            <w:vAlign w:val="center"/>
          </w:tcPr>
          <w:p w:rsidR="00F81492" w:rsidRPr="00B56F3D" w:rsidRDefault="00F81492" w:rsidP="00827F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1 360,0</w:t>
            </w:r>
          </w:p>
        </w:tc>
        <w:tc>
          <w:tcPr>
            <w:tcW w:w="787" w:type="dxa"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71" w:type="dxa"/>
            <w:gridSpan w:val="2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B318ED" w:rsidTr="00CF5014">
        <w:trPr>
          <w:gridAfter w:val="1"/>
          <w:wAfter w:w="17" w:type="dxa"/>
          <w:jc w:val="center"/>
        </w:trPr>
        <w:tc>
          <w:tcPr>
            <w:tcW w:w="422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9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65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72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91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49" w:type="dxa"/>
            <w:vAlign w:val="center"/>
          </w:tcPr>
          <w:p w:rsidR="00F81492" w:rsidRPr="00B56F3D" w:rsidRDefault="00F81492" w:rsidP="00F81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Інші джерела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фінансу</w:t>
            </w:r>
            <w:r w:rsidR="00B31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вання</w:t>
            </w:r>
            <w:proofErr w:type="spellEnd"/>
          </w:p>
        </w:tc>
        <w:tc>
          <w:tcPr>
            <w:tcW w:w="712" w:type="dxa"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90" w:type="dxa"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8" w:type="dxa"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7" w:type="dxa"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71" w:type="dxa"/>
            <w:gridSpan w:val="2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B318ED" w:rsidTr="00CF5014">
        <w:trPr>
          <w:gridAfter w:val="1"/>
          <w:wAfter w:w="17" w:type="dxa"/>
          <w:jc w:val="center"/>
        </w:trPr>
        <w:tc>
          <w:tcPr>
            <w:tcW w:w="422" w:type="dxa"/>
            <w:vMerge w:val="restart"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329" w:type="dxa"/>
            <w:vMerge w:val="restart"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8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Належне утримання рухомого складу міського пасажирського транспорту</w:t>
            </w:r>
          </w:p>
        </w:tc>
        <w:tc>
          <w:tcPr>
            <w:tcW w:w="1165" w:type="dxa"/>
            <w:vMerge w:val="restart"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8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Модернізація </w:t>
            </w:r>
            <w:proofErr w:type="spellStart"/>
            <w:r w:rsidRPr="00F8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госпо</w:t>
            </w:r>
            <w:r w:rsidR="00B31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  <w:r w:rsidRPr="00F8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дарства</w:t>
            </w:r>
            <w:proofErr w:type="spellEnd"/>
            <w:r w:rsidRPr="00F81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в автобусному депо</w:t>
            </w:r>
          </w:p>
        </w:tc>
        <w:tc>
          <w:tcPr>
            <w:tcW w:w="672" w:type="dxa"/>
            <w:vMerge w:val="restart"/>
            <w:vAlign w:val="center"/>
          </w:tcPr>
          <w:p w:rsidR="00F81492" w:rsidRPr="00B56F3D" w:rsidRDefault="00F81492" w:rsidP="00F81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2021-2023</w:t>
            </w:r>
          </w:p>
        </w:tc>
        <w:tc>
          <w:tcPr>
            <w:tcW w:w="1391" w:type="dxa"/>
            <w:vMerge w:val="restart"/>
            <w:vAlign w:val="center"/>
          </w:tcPr>
          <w:p w:rsidR="00F81492" w:rsidRPr="00B56F3D" w:rsidRDefault="00CD2A97" w:rsidP="004A36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9C0F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Управління</w:t>
            </w:r>
            <w:r w:rsidR="004A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9C0F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транспортного комплексу, зв'язку та телекомунікацій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, </w:t>
            </w:r>
            <w:r w:rsidR="004A36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</w:t>
            </w:r>
            <w:r w:rsidRPr="00CD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иконавчий комітет Миколаївської міської ради</w:t>
            </w:r>
          </w:p>
        </w:tc>
        <w:tc>
          <w:tcPr>
            <w:tcW w:w="849" w:type="dxa"/>
            <w:vAlign w:val="center"/>
          </w:tcPr>
          <w:p w:rsidR="00F81492" w:rsidRPr="00B56F3D" w:rsidRDefault="00F81492" w:rsidP="00F81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Всього</w:t>
            </w:r>
          </w:p>
        </w:tc>
        <w:tc>
          <w:tcPr>
            <w:tcW w:w="712" w:type="dxa"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90" w:type="dxa"/>
            <w:vAlign w:val="center"/>
          </w:tcPr>
          <w:p w:rsidR="00F81492" w:rsidRPr="00B56F3D" w:rsidRDefault="00F81492" w:rsidP="00CF5014">
            <w:pPr>
              <w:ind w:left="-17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10 000,0</w:t>
            </w:r>
          </w:p>
        </w:tc>
        <w:tc>
          <w:tcPr>
            <w:tcW w:w="858" w:type="dxa"/>
            <w:vAlign w:val="center"/>
          </w:tcPr>
          <w:p w:rsidR="00F81492" w:rsidRPr="00B56F3D" w:rsidRDefault="00F81492" w:rsidP="00CF5014">
            <w:pPr>
              <w:ind w:left="-1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124 000,0</w:t>
            </w:r>
          </w:p>
        </w:tc>
        <w:tc>
          <w:tcPr>
            <w:tcW w:w="787" w:type="dxa"/>
            <w:vAlign w:val="center"/>
          </w:tcPr>
          <w:p w:rsidR="00F81492" w:rsidRPr="00B56F3D" w:rsidRDefault="00F81492" w:rsidP="00827F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20 000,0</w:t>
            </w:r>
          </w:p>
        </w:tc>
        <w:tc>
          <w:tcPr>
            <w:tcW w:w="1171" w:type="dxa"/>
            <w:gridSpan w:val="2"/>
            <w:vMerge w:val="restart"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Отримання сучасного автопарку для забезпечення безперебійної роботи підприємства</w:t>
            </w:r>
          </w:p>
        </w:tc>
      </w:tr>
      <w:tr w:rsidR="00B318ED" w:rsidTr="00CF5014">
        <w:trPr>
          <w:gridAfter w:val="1"/>
          <w:wAfter w:w="17" w:type="dxa"/>
          <w:jc w:val="center"/>
        </w:trPr>
        <w:tc>
          <w:tcPr>
            <w:tcW w:w="422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9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65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72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91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49" w:type="dxa"/>
            <w:vAlign w:val="center"/>
          </w:tcPr>
          <w:p w:rsidR="00F81492" w:rsidRPr="00B56F3D" w:rsidRDefault="00F81492" w:rsidP="00F81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56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 тому числі кошти міського бюджету</w:t>
            </w:r>
          </w:p>
        </w:tc>
        <w:tc>
          <w:tcPr>
            <w:tcW w:w="712" w:type="dxa"/>
            <w:vAlign w:val="center"/>
          </w:tcPr>
          <w:p w:rsidR="00F81492" w:rsidRPr="00B56F3D" w:rsidRDefault="00F81492" w:rsidP="00F81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90" w:type="dxa"/>
            <w:vAlign w:val="center"/>
          </w:tcPr>
          <w:p w:rsidR="00F81492" w:rsidRPr="00B56F3D" w:rsidRDefault="00F81492" w:rsidP="00CF5014">
            <w:pPr>
              <w:ind w:lef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10 000,0</w:t>
            </w:r>
          </w:p>
        </w:tc>
        <w:tc>
          <w:tcPr>
            <w:tcW w:w="858" w:type="dxa"/>
            <w:vAlign w:val="center"/>
          </w:tcPr>
          <w:p w:rsidR="00F81492" w:rsidRPr="00B56F3D" w:rsidRDefault="00F81492" w:rsidP="00CF5014">
            <w:pPr>
              <w:ind w:lef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124 000,0</w:t>
            </w:r>
          </w:p>
        </w:tc>
        <w:tc>
          <w:tcPr>
            <w:tcW w:w="787" w:type="dxa"/>
            <w:vAlign w:val="center"/>
          </w:tcPr>
          <w:p w:rsidR="00F81492" w:rsidRPr="00B56F3D" w:rsidRDefault="00F81492" w:rsidP="00827F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20 000,0</w:t>
            </w:r>
          </w:p>
        </w:tc>
        <w:tc>
          <w:tcPr>
            <w:tcW w:w="1171" w:type="dxa"/>
            <w:gridSpan w:val="2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B318ED" w:rsidTr="00CF5014">
        <w:trPr>
          <w:gridAfter w:val="1"/>
          <w:wAfter w:w="17" w:type="dxa"/>
          <w:jc w:val="center"/>
        </w:trPr>
        <w:tc>
          <w:tcPr>
            <w:tcW w:w="422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9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65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72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91" w:type="dxa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49" w:type="dxa"/>
            <w:vAlign w:val="center"/>
          </w:tcPr>
          <w:p w:rsidR="00F81492" w:rsidRPr="00B56F3D" w:rsidRDefault="00F81492" w:rsidP="00F81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Інші джерела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фінансу</w:t>
            </w:r>
            <w:r w:rsidR="00B31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вання</w:t>
            </w:r>
            <w:proofErr w:type="spellEnd"/>
          </w:p>
        </w:tc>
        <w:tc>
          <w:tcPr>
            <w:tcW w:w="712" w:type="dxa"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90" w:type="dxa"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8" w:type="dxa"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87" w:type="dxa"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71" w:type="dxa"/>
            <w:gridSpan w:val="2"/>
            <w:vMerge/>
            <w:vAlign w:val="center"/>
          </w:tcPr>
          <w:p w:rsidR="00F81492" w:rsidRPr="00B56F3D" w:rsidRDefault="00F81492" w:rsidP="009D7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</w:tbl>
    <w:p w:rsidR="00400E66" w:rsidRDefault="00400E66" w:rsidP="00400E6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518C3" w:rsidRDefault="0005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0DCA" w:rsidRDefault="00F50DCA" w:rsidP="00A71EA8">
      <w:pPr>
        <w:spacing w:after="0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00E66" w:rsidRDefault="00F50DCA" w:rsidP="00A71EA8">
      <w:pPr>
        <w:pStyle w:val="a3"/>
        <w:spacing w:after="0"/>
        <w:ind w:left="0" w:firstLine="8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Програми</w:t>
      </w:r>
    </w:p>
    <w:p w:rsidR="00400E66" w:rsidRDefault="00400E66" w:rsidP="00400E6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00E66" w:rsidRDefault="00400E66" w:rsidP="00F50DCA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00E66">
        <w:rPr>
          <w:rFonts w:ascii="Times New Roman" w:hAnsi="Times New Roman" w:cs="Times New Roman"/>
          <w:sz w:val="28"/>
          <w:szCs w:val="28"/>
        </w:rPr>
        <w:t>РЕЗУЛЬТАТИВНІ ПОКАЗНИКИ</w:t>
      </w:r>
    </w:p>
    <w:p w:rsidR="00F50DCA" w:rsidRDefault="00400E66" w:rsidP="00F50DCA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00E66">
        <w:rPr>
          <w:rFonts w:ascii="Times New Roman" w:hAnsi="Times New Roman" w:cs="Times New Roman"/>
          <w:sz w:val="28"/>
          <w:szCs w:val="28"/>
        </w:rPr>
        <w:t>Програми розвитку комунального автобусного транспорту</w:t>
      </w:r>
    </w:p>
    <w:p w:rsidR="00400E66" w:rsidRDefault="00400E66" w:rsidP="00F50DCA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00E66">
        <w:rPr>
          <w:rFonts w:ascii="Times New Roman" w:hAnsi="Times New Roman" w:cs="Times New Roman"/>
          <w:sz w:val="28"/>
          <w:szCs w:val="28"/>
        </w:rPr>
        <w:t>міста Миколаєва</w:t>
      </w:r>
      <w:r w:rsidR="00F50DCA">
        <w:rPr>
          <w:rFonts w:ascii="Times New Roman" w:hAnsi="Times New Roman" w:cs="Times New Roman"/>
          <w:sz w:val="28"/>
          <w:szCs w:val="28"/>
        </w:rPr>
        <w:t xml:space="preserve"> на 2020 – 2023 роки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1105"/>
        <w:gridCol w:w="1186"/>
        <w:gridCol w:w="1309"/>
        <w:gridCol w:w="1304"/>
        <w:gridCol w:w="1191"/>
      </w:tblGrid>
      <w:tr w:rsidR="00F708EB" w:rsidRPr="00F708EB" w:rsidTr="005C6D70">
        <w:trPr>
          <w:trHeight w:val="4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показника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</w:t>
            </w:r>
          </w:p>
        </w:tc>
      </w:tr>
      <w:tr w:rsidR="00F708EB" w:rsidRPr="00F708EB" w:rsidTr="005C6D70">
        <w:trPr>
          <w:trHeight w:val="37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Придбання нового рухомого складу (автобуси)</w:t>
            </w:r>
          </w:p>
        </w:tc>
      </w:tr>
      <w:tr w:rsidR="00F708EB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затрат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708EB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автобусів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81492" w:rsidP="003D6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</w:t>
            </w:r>
            <w:r w:rsidR="00F708EB"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8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58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8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8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58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8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708EB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продукту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708EB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автобусів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81492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514178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708EB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ефективності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708EB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036538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одного автобуса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036538" w:rsidP="003D6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313B19" w:rsidP="00313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  <w:r w:rsidR="0003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24</w:t>
            </w:r>
            <w:r w:rsidR="0003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313B19" w:rsidP="00313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  <w:r w:rsidR="0003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24</w:t>
            </w:r>
            <w:r w:rsidR="00036538"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708EB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якості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708EB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036538" w:rsidP="00036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відсоток виконання </w:t>
            </w:r>
            <w:r w:rsidR="0051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</w:t>
            </w:r>
            <w:r w:rsidR="0036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Програмою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036538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036538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583269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="0003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EB" w:rsidRPr="00F708EB" w:rsidRDefault="00F708EB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D2A97" w:rsidRPr="00F708EB" w:rsidTr="005C6D70">
        <w:trPr>
          <w:trHeight w:val="57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7" w:rsidRPr="00F708EB" w:rsidRDefault="00CD2A97" w:rsidP="00CD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Фінансова підтримка КП ММР «</w:t>
            </w:r>
            <w:proofErr w:type="spellStart"/>
            <w:r w:rsidRPr="00CD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Миколаївпастранс</w:t>
            </w:r>
            <w:proofErr w:type="spellEnd"/>
            <w:r w:rsidRPr="00CD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  <w:tr w:rsidR="00F708EB" w:rsidRPr="00F708EB" w:rsidTr="005C6D70">
        <w:trPr>
          <w:trHeight w:val="5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8EB" w:rsidRPr="00F708EB" w:rsidRDefault="00F708EB" w:rsidP="00CD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  <w:r w:rsidR="0003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Фінансове забезпечення погашення частини вартості предмета фінансового лізингу за договором від 13.02.2019 №1070-ЛД</w:t>
            </w:r>
          </w:p>
        </w:tc>
      </w:tr>
      <w:tr w:rsidR="00F708EB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затрат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6538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38" w:rsidRPr="00F708EB" w:rsidRDefault="00036538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погашення частини вартості предмета фінансового лізингу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3D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38" w:rsidRPr="00F708EB" w:rsidRDefault="0051417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38" w:rsidRPr="00F708EB" w:rsidRDefault="0051417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7 250</w:t>
            </w:r>
            <w:r w:rsidR="0003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6538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продукту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B6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6538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автобусів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B6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6538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ефективності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B6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6538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514178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1 автобус на рік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3D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51417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514178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6538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якості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B6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36538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514178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відсоток виконання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</w:t>
            </w:r>
            <w:r w:rsidR="0036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Програмою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B6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38" w:rsidRPr="00F708EB" w:rsidRDefault="0003653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708EB" w:rsidRPr="00F708EB" w:rsidTr="005C6D70">
        <w:trPr>
          <w:trHeight w:val="5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8EB" w:rsidRPr="00F708EB" w:rsidRDefault="00036538" w:rsidP="00F7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2.2. </w:t>
            </w:r>
            <w:r w:rsidR="00F708EB"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Фінансове забезпечення погашення відсотків фінансового лізингу за договором від 13.02.2019 №1070-ЛД</w:t>
            </w:r>
          </w:p>
        </w:tc>
      </w:tr>
      <w:tr w:rsidR="00F708EB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затрат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EB" w:rsidRPr="00F708EB" w:rsidRDefault="00F708EB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27F0C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0C" w:rsidRPr="00F708EB" w:rsidRDefault="00827F0C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погашення відсотків фінансового лізингу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3D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200,00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0C" w:rsidRPr="00F708EB" w:rsidRDefault="00827F0C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1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0C" w:rsidRPr="00F708EB" w:rsidRDefault="00514178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82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  <w:r w:rsidR="0082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27F0C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продукту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B6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27F0C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автобусів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B6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27F0C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ефективності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B6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27F0C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514178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1 автобус на рік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3D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514178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267</w:t>
            </w:r>
            <w:r w:rsidR="0082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514178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  <w:r w:rsidR="0082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9C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27F0C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якості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B6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27F0C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514178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відсоток виконання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</w:t>
            </w:r>
            <w:r w:rsidR="0036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Програмою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B6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27F0C" w:rsidRPr="00F708EB" w:rsidTr="005C6D70">
        <w:trPr>
          <w:trHeight w:val="5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F7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Модернізація господарства в автобусному депо</w:t>
            </w:r>
          </w:p>
        </w:tc>
      </w:tr>
      <w:tr w:rsidR="00827F0C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затрат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27F0C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0C" w:rsidRPr="00F708EB" w:rsidRDefault="00E25F83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827F0C"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одернізація господарства в автобусному депо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3D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F0C" w:rsidRPr="00F708EB" w:rsidRDefault="00827F0C" w:rsidP="00F7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F0C" w:rsidRPr="00827F0C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2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F0C" w:rsidRPr="00827F0C" w:rsidRDefault="00827F0C" w:rsidP="0051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2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51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82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827F0C" w:rsidRDefault="00514178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="00827F0C" w:rsidRPr="0082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000,00</w:t>
            </w:r>
          </w:p>
        </w:tc>
      </w:tr>
      <w:tr w:rsidR="00827F0C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продукту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B6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F0C" w:rsidRPr="00F708EB" w:rsidRDefault="00827F0C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27F0C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0C" w:rsidRPr="00F708EB" w:rsidRDefault="00827F0C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модернізація будівель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B6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F0C" w:rsidRPr="00F708EB" w:rsidRDefault="00827F0C" w:rsidP="00F7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827F0C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ефективності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B6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F0C" w:rsidRPr="00F708EB" w:rsidRDefault="00827F0C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27F0C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E25F83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="0051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артість будівлі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3D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</w:t>
            </w: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F0C" w:rsidRPr="00F708EB" w:rsidRDefault="00827F0C" w:rsidP="00F7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10 000,00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F0C" w:rsidRPr="00F708EB" w:rsidRDefault="00827F0C" w:rsidP="009C0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9C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9C0F7A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="0082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000</w:t>
            </w:r>
            <w:r w:rsidR="00827F0C"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82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="00827F0C"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827F0C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якості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B6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27F0C" w:rsidRPr="00F708EB" w:rsidTr="005C6D70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514178" w:rsidP="00A7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відсоток виконання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</w:t>
            </w:r>
            <w:r w:rsidR="00A7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рограмою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B6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F7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C" w:rsidRPr="00F708EB" w:rsidRDefault="00827F0C" w:rsidP="0082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</w:tbl>
    <w:p w:rsidR="00F708EB" w:rsidRPr="00F708EB" w:rsidRDefault="00F708EB" w:rsidP="00F708EB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708EB" w:rsidRPr="00F708EB" w:rsidSect="007704B1">
      <w:pgSz w:w="11906" w:h="16838" w:code="9"/>
      <w:pgMar w:top="567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C" w:rsidRDefault="00B66A6C" w:rsidP="00CF317F">
      <w:pPr>
        <w:spacing w:after="0" w:line="240" w:lineRule="auto"/>
      </w:pPr>
      <w:r>
        <w:separator/>
      </w:r>
    </w:p>
  </w:endnote>
  <w:endnote w:type="continuationSeparator" w:id="0">
    <w:p w:rsidR="00B66A6C" w:rsidRDefault="00B66A6C" w:rsidP="00CF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C" w:rsidRDefault="00B66A6C" w:rsidP="00CF317F">
      <w:pPr>
        <w:spacing w:after="0" w:line="240" w:lineRule="auto"/>
      </w:pPr>
      <w:r>
        <w:separator/>
      </w:r>
    </w:p>
  </w:footnote>
  <w:footnote w:type="continuationSeparator" w:id="0">
    <w:p w:rsidR="00B66A6C" w:rsidRDefault="00B66A6C" w:rsidP="00CF3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09E0"/>
    <w:multiLevelType w:val="hybridMultilevel"/>
    <w:tmpl w:val="FF46CF5A"/>
    <w:lvl w:ilvl="0" w:tplc="DE9223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C467F"/>
    <w:multiLevelType w:val="hybridMultilevel"/>
    <w:tmpl w:val="076655CE"/>
    <w:lvl w:ilvl="0" w:tplc="9A46D5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3D08C1"/>
    <w:multiLevelType w:val="hybridMultilevel"/>
    <w:tmpl w:val="186E9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41FD7"/>
    <w:multiLevelType w:val="hybridMultilevel"/>
    <w:tmpl w:val="B3682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7744E"/>
    <w:multiLevelType w:val="hybridMultilevel"/>
    <w:tmpl w:val="4030D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EF9"/>
    <w:rsid w:val="00013B03"/>
    <w:rsid w:val="00036538"/>
    <w:rsid w:val="000518C3"/>
    <w:rsid w:val="00072E74"/>
    <w:rsid w:val="00075DFA"/>
    <w:rsid w:val="001944BF"/>
    <w:rsid w:val="00301096"/>
    <w:rsid w:val="00307C9A"/>
    <w:rsid w:val="00313B19"/>
    <w:rsid w:val="0031600F"/>
    <w:rsid w:val="00354D69"/>
    <w:rsid w:val="00361EA1"/>
    <w:rsid w:val="00363EF9"/>
    <w:rsid w:val="00393DE8"/>
    <w:rsid w:val="003D6AE7"/>
    <w:rsid w:val="003F4E78"/>
    <w:rsid w:val="00400E66"/>
    <w:rsid w:val="0040624D"/>
    <w:rsid w:val="00423EC7"/>
    <w:rsid w:val="00451370"/>
    <w:rsid w:val="00463536"/>
    <w:rsid w:val="004841DD"/>
    <w:rsid w:val="004A36D2"/>
    <w:rsid w:val="004B364A"/>
    <w:rsid w:val="00510366"/>
    <w:rsid w:val="00514178"/>
    <w:rsid w:val="00542355"/>
    <w:rsid w:val="00574B02"/>
    <w:rsid w:val="00583269"/>
    <w:rsid w:val="005C6D70"/>
    <w:rsid w:val="005F4185"/>
    <w:rsid w:val="0061408B"/>
    <w:rsid w:val="006672FF"/>
    <w:rsid w:val="006C04F7"/>
    <w:rsid w:val="006E4B9D"/>
    <w:rsid w:val="0074612B"/>
    <w:rsid w:val="007704B1"/>
    <w:rsid w:val="00775E25"/>
    <w:rsid w:val="007B63B2"/>
    <w:rsid w:val="00827F0C"/>
    <w:rsid w:val="00842824"/>
    <w:rsid w:val="0084558E"/>
    <w:rsid w:val="00851C64"/>
    <w:rsid w:val="00853A0E"/>
    <w:rsid w:val="00865041"/>
    <w:rsid w:val="00894D66"/>
    <w:rsid w:val="008D1C26"/>
    <w:rsid w:val="00906AB6"/>
    <w:rsid w:val="00913941"/>
    <w:rsid w:val="00947EE1"/>
    <w:rsid w:val="00960F25"/>
    <w:rsid w:val="00990041"/>
    <w:rsid w:val="009A7E96"/>
    <w:rsid w:val="009C0F7A"/>
    <w:rsid w:val="009D7DB9"/>
    <w:rsid w:val="00A122C0"/>
    <w:rsid w:val="00A46A2C"/>
    <w:rsid w:val="00A71EA8"/>
    <w:rsid w:val="00AD459A"/>
    <w:rsid w:val="00B1746E"/>
    <w:rsid w:val="00B318ED"/>
    <w:rsid w:val="00B56F3D"/>
    <w:rsid w:val="00B66A6C"/>
    <w:rsid w:val="00C462DD"/>
    <w:rsid w:val="00CA4A67"/>
    <w:rsid w:val="00CD2A97"/>
    <w:rsid w:val="00CF317F"/>
    <w:rsid w:val="00CF5014"/>
    <w:rsid w:val="00D61768"/>
    <w:rsid w:val="00D93DF6"/>
    <w:rsid w:val="00DE048C"/>
    <w:rsid w:val="00E02D01"/>
    <w:rsid w:val="00E25F83"/>
    <w:rsid w:val="00E45EB9"/>
    <w:rsid w:val="00EA07D0"/>
    <w:rsid w:val="00F33318"/>
    <w:rsid w:val="00F50DCA"/>
    <w:rsid w:val="00F52069"/>
    <w:rsid w:val="00F5791F"/>
    <w:rsid w:val="00F708EB"/>
    <w:rsid w:val="00F8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A5B3"/>
  <w15:docId w15:val="{71E5DC1D-11EB-4C21-9A25-CB3514CA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17F"/>
  </w:style>
  <w:style w:type="paragraph" w:styleId="a6">
    <w:name w:val="footer"/>
    <w:basedOn w:val="a"/>
    <w:link w:val="a7"/>
    <w:uiPriority w:val="99"/>
    <w:unhideWhenUsed/>
    <w:rsid w:val="00CF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17F"/>
  </w:style>
  <w:style w:type="table" w:styleId="a8">
    <w:name w:val="Table Grid"/>
    <w:basedOn w:val="a1"/>
    <w:uiPriority w:val="39"/>
    <w:rsid w:val="00D93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0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0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F2C2-2426-4AC6-8829-6707040C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Comp02</dc:creator>
  <cp:lastModifiedBy>user410h</cp:lastModifiedBy>
  <cp:revision>41</cp:revision>
  <cp:lastPrinted>2020-06-11T11:34:00Z</cp:lastPrinted>
  <dcterms:created xsi:type="dcterms:W3CDTF">2020-06-09T12:32:00Z</dcterms:created>
  <dcterms:modified xsi:type="dcterms:W3CDTF">2020-06-11T11:36:00Z</dcterms:modified>
</cp:coreProperties>
</file>