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50" w:rsidRPr="008465ED" w:rsidRDefault="00D66750" w:rsidP="00D66750">
      <w:pPr>
        <w:pStyle w:val="a3"/>
        <w:jc w:val="center"/>
        <w:rPr>
          <w:sz w:val="26"/>
          <w:szCs w:val="26"/>
        </w:rPr>
      </w:pPr>
      <w:r w:rsidRPr="008465ED">
        <w:rPr>
          <w:sz w:val="26"/>
          <w:szCs w:val="26"/>
        </w:rPr>
        <w:t>Звіт</w:t>
      </w:r>
    </w:p>
    <w:p w:rsidR="00D66750" w:rsidRDefault="00D66750" w:rsidP="00D66750">
      <w:pPr>
        <w:pStyle w:val="a3"/>
        <w:jc w:val="center"/>
        <w:rPr>
          <w:sz w:val="26"/>
          <w:szCs w:val="26"/>
        </w:rPr>
      </w:pPr>
      <w:r w:rsidRPr="008465ED">
        <w:rPr>
          <w:sz w:val="26"/>
          <w:szCs w:val="26"/>
        </w:rPr>
        <w:t>про пе</w:t>
      </w:r>
      <w:r>
        <w:rPr>
          <w:sz w:val="26"/>
          <w:szCs w:val="26"/>
        </w:rPr>
        <w:t>ріодичне</w:t>
      </w:r>
      <w:r w:rsidRPr="008465ED">
        <w:rPr>
          <w:sz w:val="26"/>
          <w:szCs w:val="26"/>
        </w:rPr>
        <w:t xml:space="preserve"> відстеження результативності регуляторного акту</w:t>
      </w:r>
    </w:p>
    <w:p w:rsidR="00D66750" w:rsidRPr="008465ED" w:rsidRDefault="00D66750" w:rsidP="00D66750">
      <w:pPr>
        <w:pStyle w:val="a3"/>
        <w:jc w:val="center"/>
        <w:rPr>
          <w:sz w:val="26"/>
          <w:szCs w:val="26"/>
        </w:rPr>
      </w:pPr>
    </w:p>
    <w:p w:rsidR="00D66750" w:rsidRPr="008465ED" w:rsidRDefault="00D66750" w:rsidP="00D66750">
      <w:pPr>
        <w:pStyle w:val="a3"/>
        <w:jc w:val="both"/>
        <w:rPr>
          <w:sz w:val="26"/>
          <w:szCs w:val="26"/>
        </w:rPr>
      </w:pPr>
      <w:r w:rsidRPr="008465ED">
        <w:rPr>
          <w:sz w:val="26"/>
          <w:szCs w:val="26"/>
        </w:rPr>
        <w:t xml:space="preserve">1. Вид та назва регуляторного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 xml:space="preserve">          Рішення виконкому Миколаївської міської ради від 23.03.12 № 211 «Про затвердження Порядку взаємодії державного адміністратора та місцевих дозвільних органів щодо розгляду заяв суб’єктів господарювання на отримання документа дозвільного характеру - рішення міської ради про передачу у власність, надання у постійне користувач та оренду (продовження терміну оренди) земельних ділянок, зі змінами та доповненнями, внесеними рішенням виконавчого комітету Миколаївської міської ради від 14.12.2012р №1409»</w:t>
      </w:r>
    </w:p>
    <w:p w:rsidR="00D66750" w:rsidRPr="008465ED" w:rsidRDefault="00D66750" w:rsidP="00D66750">
      <w:pPr>
        <w:pStyle w:val="a3"/>
        <w:jc w:val="both"/>
        <w:rPr>
          <w:sz w:val="26"/>
          <w:szCs w:val="26"/>
        </w:rPr>
      </w:pPr>
      <w:r w:rsidRPr="008465ED">
        <w:rPr>
          <w:sz w:val="26"/>
          <w:szCs w:val="26"/>
        </w:rPr>
        <w:t>2. Виконавець заходів відстеження.</w:t>
      </w:r>
    </w:p>
    <w:p w:rsidR="00D66750" w:rsidRPr="008465ED" w:rsidRDefault="00D66750" w:rsidP="00D66750">
      <w:pPr>
        <w:pStyle w:val="a3"/>
        <w:jc w:val="both"/>
        <w:rPr>
          <w:sz w:val="26"/>
          <w:szCs w:val="26"/>
        </w:rPr>
      </w:pPr>
      <w:r w:rsidRPr="008465ED">
        <w:rPr>
          <w:sz w:val="26"/>
          <w:szCs w:val="26"/>
        </w:rPr>
        <w:t xml:space="preserve">           Центр надання адміністративних послуг Миколаївської міської ради</w:t>
      </w:r>
    </w:p>
    <w:p w:rsidR="00D66750" w:rsidRPr="008465ED" w:rsidRDefault="00D66750" w:rsidP="00D66750">
      <w:pPr>
        <w:pStyle w:val="a3"/>
        <w:jc w:val="both"/>
        <w:rPr>
          <w:sz w:val="26"/>
          <w:szCs w:val="26"/>
        </w:rPr>
      </w:pPr>
      <w:r w:rsidRPr="008465ED">
        <w:rPr>
          <w:sz w:val="26"/>
          <w:szCs w:val="26"/>
        </w:rPr>
        <w:t xml:space="preserve">           Основне завдання Центру - створення сприятливих умов для розвитку малого та середнього бізнесу в місті, а метою створення – вирішення проблем з отримання документів дозвільного характеру, зменшення часових рамок отримання цих документів, застосування принципу «єдиного вікна» у прийомі документів, зменшення перешкод для розвитку підприємництва, скорочення витрат часу підприємців при отриманні дозвільних документів на започаткування власної справи, надання консультативної та практичної допомоги з питань відкриття нових об’єктів, здійснення підприємницької діяльності. </w:t>
      </w:r>
    </w:p>
    <w:p w:rsidR="00D66750" w:rsidRPr="008465ED" w:rsidRDefault="00D66750" w:rsidP="00D66750">
      <w:pPr>
        <w:pStyle w:val="a3"/>
        <w:jc w:val="both"/>
        <w:rPr>
          <w:color w:val="000000"/>
          <w:sz w:val="26"/>
          <w:szCs w:val="26"/>
          <w:shd w:val="clear" w:color="auto" w:fill="FFFFFF"/>
        </w:rPr>
      </w:pPr>
      <w:r w:rsidRPr="008465ED">
        <w:rPr>
          <w:sz w:val="26"/>
          <w:szCs w:val="26"/>
        </w:rPr>
        <w:t xml:space="preserve">          Разом з цим, повідомляємо про створення та роботу</w:t>
      </w:r>
      <w:r w:rsidRPr="008465ED">
        <w:rPr>
          <w:color w:val="000000"/>
          <w:sz w:val="26"/>
          <w:szCs w:val="26"/>
          <w:shd w:val="clear" w:color="auto" w:fill="FFFFFF"/>
        </w:rPr>
        <w:t xml:space="preserve"> департаменту з надання адміністративних послуг Миколаївської міської ради (далі-</w:t>
      </w:r>
      <w:proofErr w:type="spellStart"/>
      <w:r w:rsidRPr="008465ED">
        <w:rPr>
          <w:color w:val="000000"/>
          <w:sz w:val="26"/>
          <w:szCs w:val="26"/>
          <w:shd w:val="clear" w:color="auto" w:fill="FFFFFF"/>
        </w:rPr>
        <w:t>ДзНАП</w:t>
      </w:r>
      <w:proofErr w:type="spellEnd"/>
      <w:r w:rsidRPr="008465ED">
        <w:rPr>
          <w:color w:val="000000"/>
          <w:sz w:val="26"/>
          <w:szCs w:val="26"/>
          <w:shd w:val="clear" w:color="auto" w:fill="FFFFFF"/>
        </w:rPr>
        <w:t xml:space="preserve">) в якому надаються адміністративні послуги через адміністратора шляхом його взаємодії з суб’єктами надання адміністративних послуг. </w:t>
      </w:r>
    </w:p>
    <w:p w:rsidR="00D66750" w:rsidRPr="008465ED" w:rsidRDefault="00D66750" w:rsidP="00D66750">
      <w:pPr>
        <w:pStyle w:val="a3"/>
        <w:jc w:val="both"/>
        <w:rPr>
          <w:sz w:val="26"/>
          <w:szCs w:val="26"/>
        </w:rPr>
      </w:pPr>
      <w:r w:rsidRPr="008465ED">
        <w:rPr>
          <w:sz w:val="26"/>
          <w:szCs w:val="26"/>
        </w:rPr>
        <w:t xml:space="preserve">3. Цілі прийняття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 xml:space="preserve">         Цілями державного регулювання є:</w:t>
      </w:r>
    </w:p>
    <w:p w:rsidR="00D66750" w:rsidRPr="008465ED" w:rsidRDefault="00D66750" w:rsidP="00D66750">
      <w:pPr>
        <w:pStyle w:val="a3"/>
        <w:jc w:val="both"/>
        <w:rPr>
          <w:sz w:val="26"/>
          <w:szCs w:val="26"/>
        </w:rPr>
      </w:pPr>
      <w:r w:rsidRPr="008465ED">
        <w:rPr>
          <w:sz w:val="26"/>
          <w:szCs w:val="26"/>
        </w:rPr>
        <w:t>- спрощення процедури отримання суб’єктами  господарювання рішення міської ради про передачу у власність, надання у постійне користування та оренду (продовження терміну оренди) земельних ділянок;</w:t>
      </w:r>
    </w:p>
    <w:p w:rsidR="00D66750" w:rsidRPr="008465ED" w:rsidRDefault="00D66750" w:rsidP="00D66750">
      <w:pPr>
        <w:pStyle w:val="a3"/>
        <w:jc w:val="both"/>
        <w:rPr>
          <w:sz w:val="26"/>
          <w:szCs w:val="26"/>
        </w:rPr>
      </w:pPr>
      <w:r w:rsidRPr="008465ED">
        <w:rPr>
          <w:sz w:val="26"/>
          <w:szCs w:val="26"/>
        </w:rPr>
        <w:t>- скорочення термінів прийняття рішення міської ради про передачу у власність, надання у постійне користування та оренду (продовження терміну оренди) земельних ділянок або повідомлення про відмову у прийнятті вказаного рішення.</w:t>
      </w:r>
    </w:p>
    <w:p w:rsidR="00D66750" w:rsidRPr="008465ED" w:rsidRDefault="00D66750" w:rsidP="00D66750">
      <w:pPr>
        <w:pStyle w:val="a3"/>
        <w:jc w:val="both"/>
        <w:rPr>
          <w:sz w:val="26"/>
          <w:szCs w:val="26"/>
        </w:rPr>
      </w:pPr>
      <w:r w:rsidRPr="008465ED">
        <w:rPr>
          <w:sz w:val="26"/>
          <w:szCs w:val="26"/>
        </w:rPr>
        <w:t>4. Строк виконання заходів з відстеження.</w:t>
      </w:r>
    </w:p>
    <w:p w:rsidR="00D66750" w:rsidRPr="008465ED" w:rsidRDefault="00D66750" w:rsidP="00D66750">
      <w:pPr>
        <w:pStyle w:val="a3"/>
        <w:jc w:val="both"/>
        <w:rPr>
          <w:sz w:val="26"/>
          <w:szCs w:val="26"/>
        </w:rPr>
      </w:pPr>
      <w:r w:rsidRPr="008465ED">
        <w:rPr>
          <w:sz w:val="26"/>
          <w:szCs w:val="26"/>
        </w:rPr>
        <w:t>Строк виконання заходів з відстеження: 2016 рік, станом на травень 2017року.</w:t>
      </w:r>
      <w:r w:rsidRPr="008465ED">
        <w:rPr>
          <w:sz w:val="26"/>
          <w:szCs w:val="26"/>
        </w:rPr>
        <w:br/>
        <w:t>Період для відстеження: 01.06.2017р.</w:t>
      </w:r>
    </w:p>
    <w:p w:rsidR="00D66750" w:rsidRPr="008465ED" w:rsidRDefault="00D66750" w:rsidP="00D66750">
      <w:pPr>
        <w:pStyle w:val="a3"/>
        <w:jc w:val="both"/>
        <w:rPr>
          <w:sz w:val="26"/>
          <w:szCs w:val="26"/>
        </w:rPr>
      </w:pPr>
      <w:r w:rsidRPr="008465ED">
        <w:rPr>
          <w:sz w:val="26"/>
          <w:szCs w:val="26"/>
        </w:rPr>
        <w:t>5. Тип відстеження.</w:t>
      </w:r>
    </w:p>
    <w:p w:rsidR="00D66750" w:rsidRPr="008465ED" w:rsidRDefault="00D66750" w:rsidP="00D66750">
      <w:pPr>
        <w:pStyle w:val="a3"/>
        <w:jc w:val="both"/>
        <w:rPr>
          <w:sz w:val="26"/>
          <w:szCs w:val="26"/>
        </w:rPr>
      </w:pPr>
      <w:r w:rsidRPr="008465ED">
        <w:rPr>
          <w:sz w:val="26"/>
          <w:szCs w:val="26"/>
        </w:rPr>
        <w:t>Повторне відстеження</w:t>
      </w:r>
    </w:p>
    <w:p w:rsidR="00D66750" w:rsidRPr="008465ED" w:rsidRDefault="00D66750" w:rsidP="00D66750">
      <w:pPr>
        <w:pStyle w:val="a3"/>
        <w:jc w:val="both"/>
        <w:rPr>
          <w:sz w:val="26"/>
          <w:szCs w:val="26"/>
        </w:rPr>
      </w:pPr>
      <w:r w:rsidRPr="008465ED">
        <w:rPr>
          <w:sz w:val="26"/>
          <w:szCs w:val="26"/>
        </w:rPr>
        <w:t>6. Методи одержання результатів відстеження.</w:t>
      </w:r>
    </w:p>
    <w:p w:rsidR="00D66750" w:rsidRPr="008465ED" w:rsidRDefault="00D66750" w:rsidP="00D66750">
      <w:pPr>
        <w:pStyle w:val="a3"/>
        <w:jc w:val="both"/>
        <w:rPr>
          <w:sz w:val="26"/>
          <w:szCs w:val="26"/>
        </w:rPr>
      </w:pPr>
      <w:r w:rsidRPr="008465ED">
        <w:rPr>
          <w:sz w:val="26"/>
          <w:szCs w:val="26"/>
        </w:rPr>
        <w:t>Статистичний метод.</w:t>
      </w:r>
    </w:p>
    <w:p w:rsidR="00D66750" w:rsidRPr="008465ED" w:rsidRDefault="00D66750" w:rsidP="00D66750">
      <w:pPr>
        <w:pStyle w:val="a3"/>
        <w:jc w:val="both"/>
        <w:rPr>
          <w:sz w:val="26"/>
          <w:szCs w:val="26"/>
        </w:rPr>
      </w:pPr>
      <w:r w:rsidRPr="008465ED">
        <w:rPr>
          <w:sz w:val="26"/>
          <w:szCs w:val="26"/>
        </w:rPr>
        <w:t>7. Дані та припущення, на основі яких відстежувалась результативність, а також способи одержання даних.</w:t>
      </w:r>
    </w:p>
    <w:p w:rsidR="00D66750" w:rsidRPr="008465ED" w:rsidRDefault="00D66750" w:rsidP="00D66750">
      <w:pPr>
        <w:pStyle w:val="a3"/>
        <w:jc w:val="both"/>
        <w:rPr>
          <w:sz w:val="26"/>
          <w:szCs w:val="26"/>
        </w:rPr>
      </w:pPr>
      <w:r w:rsidRPr="008465ED">
        <w:rPr>
          <w:sz w:val="26"/>
          <w:szCs w:val="26"/>
        </w:rPr>
        <w:t xml:space="preserve">         Враховуючи цілі регулювання, для відстеження результативності регуляторного </w:t>
      </w:r>
      <w:proofErr w:type="spellStart"/>
      <w:r w:rsidRPr="008465ED">
        <w:rPr>
          <w:sz w:val="26"/>
          <w:szCs w:val="26"/>
        </w:rPr>
        <w:t>акта</w:t>
      </w:r>
      <w:proofErr w:type="spellEnd"/>
      <w:r w:rsidRPr="008465ED">
        <w:rPr>
          <w:sz w:val="26"/>
          <w:szCs w:val="26"/>
        </w:rPr>
        <w:t xml:space="preserve"> були визначені такі показники результативності:</w:t>
      </w:r>
    </w:p>
    <w:p w:rsidR="00D66750" w:rsidRPr="008465ED" w:rsidRDefault="00D66750" w:rsidP="00D66750">
      <w:pPr>
        <w:pStyle w:val="a3"/>
        <w:jc w:val="both"/>
        <w:rPr>
          <w:sz w:val="26"/>
          <w:szCs w:val="26"/>
        </w:rPr>
      </w:pPr>
      <w:r w:rsidRPr="008465ED">
        <w:rPr>
          <w:sz w:val="26"/>
          <w:szCs w:val="26"/>
        </w:rPr>
        <w:t xml:space="preserve">розмір надходжень до державного та місцевих бюджетів і державних цільових фондів, пов’язаних з дією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 xml:space="preserve">кількість суб’єктів господарювання та/або фізичних осіб, на яких поширюватиметься дія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lastRenderedPageBreak/>
        <w:t xml:space="preserve">розмір коштів і час, що витрачатимуться суб’єктами господарювання та / або фізичними особами, пов’язаними з виконанням вимог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 xml:space="preserve">рівень поінформованості суб’єктів господарювання та /або фізичних осіб з основних положень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кількість зареєстрованих документів на право власності, тимчасового або постійного користування земельними ділянками.</w:t>
      </w:r>
    </w:p>
    <w:p w:rsidR="00D66750" w:rsidRPr="008465ED" w:rsidRDefault="00D66750" w:rsidP="00D66750">
      <w:pPr>
        <w:pStyle w:val="a3"/>
        <w:jc w:val="both"/>
        <w:rPr>
          <w:sz w:val="26"/>
          <w:szCs w:val="26"/>
        </w:rPr>
      </w:pPr>
      <w:r w:rsidRPr="008465ED">
        <w:rPr>
          <w:sz w:val="26"/>
          <w:szCs w:val="26"/>
        </w:rPr>
        <w:t xml:space="preserve">             Для визначення кількісного значення статистичних показників результативності використовувалась обробка та аналіз офіційної інформації, що була надана. Спосіб одержання інформації: письмовий, на запити, на підставі даних статистики.</w:t>
      </w:r>
    </w:p>
    <w:p w:rsidR="00D66750" w:rsidRPr="008465ED" w:rsidRDefault="00D66750" w:rsidP="00D66750">
      <w:pPr>
        <w:pStyle w:val="a3"/>
        <w:jc w:val="both"/>
        <w:rPr>
          <w:sz w:val="26"/>
          <w:szCs w:val="26"/>
        </w:rPr>
      </w:pPr>
      <w:r w:rsidRPr="008465ED">
        <w:rPr>
          <w:sz w:val="26"/>
          <w:szCs w:val="26"/>
        </w:rPr>
        <w:t xml:space="preserve">8. Кількісні та якісні значення показників результативності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jc w:val="both"/>
        <w:rPr>
          <w:sz w:val="26"/>
          <w:szCs w:val="26"/>
          <w:lang w:val="ru-RU"/>
        </w:rPr>
      </w:pPr>
      <w:r w:rsidRPr="008465ED">
        <w:rPr>
          <w:sz w:val="26"/>
          <w:szCs w:val="26"/>
        </w:rPr>
        <w:t xml:space="preserve">кількість суб’єктів господарювання та/або фізичних осіб, на яких поширюватиметься дія </w:t>
      </w:r>
      <w:proofErr w:type="spellStart"/>
      <w:r w:rsidRPr="008465ED">
        <w:rPr>
          <w:sz w:val="26"/>
          <w:szCs w:val="26"/>
        </w:rPr>
        <w:t>акта</w:t>
      </w:r>
      <w:proofErr w:type="spellEnd"/>
      <w:r w:rsidRPr="008465ED">
        <w:rPr>
          <w:sz w:val="26"/>
          <w:szCs w:val="26"/>
        </w:rPr>
        <w:t xml:space="preserve">. </w:t>
      </w:r>
    </w:p>
    <w:p w:rsidR="00D66750" w:rsidRPr="008465ED" w:rsidRDefault="00D66750" w:rsidP="00D66750">
      <w:pPr>
        <w:pStyle w:val="a3"/>
        <w:jc w:val="both"/>
        <w:rPr>
          <w:bCs/>
          <w:sz w:val="26"/>
          <w:szCs w:val="26"/>
        </w:rPr>
      </w:pPr>
      <w:r w:rsidRPr="008465ED">
        <w:rPr>
          <w:bCs/>
          <w:sz w:val="26"/>
          <w:szCs w:val="26"/>
        </w:rPr>
        <w:t>Показники результативності по роках:</w:t>
      </w:r>
    </w:p>
    <w:p w:rsidR="00D66750" w:rsidRPr="008465ED" w:rsidRDefault="00D66750" w:rsidP="00D66750">
      <w:pPr>
        <w:pStyle w:val="a3"/>
        <w:jc w:val="both"/>
        <w:rPr>
          <w:sz w:val="26"/>
          <w:szCs w:val="26"/>
        </w:rPr>
      </w:pPr>
      <w:r w:rsidRPr="008465ED">
        <w:rPr>
          <w:sz w:val="26"/>
          <w:szCs w:val="26"/>
        </w:rPr>
        <w:t xml:space="preserve">         За період 2016-2017 рр. було зареєстровано звернень з питань: </w:t>
      </w:r>
    </w:p>
    <w:p w:rsidR="00D66750" w:rsidRPr="008465ED" w:rsidRDefault="00D66750" w:rsidP="00D66750">
      <w:pPr>
        <w:pStyle w:val="a3"/>
        <w:jc w:val="both"/>
        <w:rPr>
          <w:sz w:val="26"/>
          <w:szCs w:val="26"/>
        </w:rPr>
      </w:pPr>
      <w:r w:rsidRPr="008465ED">
        <w:rPr>
          <w:sz w:val="26"/>
          <w:szCs w:val="26"/>
        </w:rPr>
        <w:t xml:space="preserve">- за 2016 рік загальна кількість адміністративних послуг склала– 68715;  </w:t>
      </w:r>
    </w:p>
    <w:p w:rsidR="00D66750" w:rsidRPr="008465ED" w:rsidRDefault="00D66750" w:rsidP="00D66750">
      <w:pPr>
        <w:pStyle w:val="a3"/>
        <w:jc w:val="both"/>
        <w:rPr>
          <w:sz w:val="26"/>
          <w:szCs w:val="26"/>
        </w:rPr>
      </w:pPr>
      <w:r w:rsidRPr="008465ED">
        <w:rPr>
          <w:sz w:val="26"/>
          <w:szCs w:val="26"/>
        </w:rPr>
        <w:t>- з земельних питань фізичними особами подано - 4139 заяв;</w:t>
      </w:r>
    </w:p>
    <w:p w:rsidR="00D66750" w:rsidRPr="008465ED" w:rsidRDefault="00D66750" w:rsidP="00D66750">
      <w:pPr>
        <w:pStyle w:val="a3"/>
        <w:jc w:val="both"/>
        <w:rPr>
          <w:sz w:val="26"/>
          <w:szCs w:val="26"/>
        </w:rPr>
      </w:pPr>
      <w:r w:rsidRPr="008465ED">
        <w:rPr>
          <w:sz w:val="26"/>
          <w:szCs w:val="26"/>
        </w:rPr>
        <w:t>- з земельних питань юридичними особами та фізичними особами-підприємцями подано 1407 заяв;</w:t>
      </w:r>
    </w:p>
    <w:p w:rsidR="00D66750" w:rsidRPr="008465ED" w:rsidRDefault="00D66750" w:rsidP="00D66750">
      <w:pPr>
        <w:pStyle w:val="a3"/>
        <w:jc w:val="both"/>
        <w:rPr>
          <w:sz w:val="26"/>
          <w:szCs w:val="26"/>
        </w:rPr>
      </w:pPr>
      <w:r w:rsidRPr="008465ED">
        <w:rPr>
          <w:sz w:val="26"/>
          <w:szCs w:val="26"/>
        </w:rPr>
        <w:t xml:space="preserve">- за І </w:t>
      </w:r>
      <w:proofErr w:type="spellStart"/>
      <w:r w:rsidRPr="008465ED">
        <w:rPr>
          <w:sz w:val="26"/>
          <w:szCs w:val="26"/>
        </w:rPr>
        <w:t>кв</w:t>
      </w:r>
      <w:proofErr w:type="spellEnd"/>
      <w:r w:rsidRPr="008465ED">
        <w:rPr>
          <w:sz w:val="26"/>
          <w:szCs w:val="26"/>
        </w:rPr>
        <w:t>. 2017 року загальна кількість адміністративних послуг склала – 26036:</w:t>
      </w:r>
    </w:p>
    <w:p w:rsidR="00D66750" w:rsidRPr="008465ED" w:rsidRDefault="00D66750" w:rsidP="00D66750">
      <w:pPr>
        <w:pStyle w:val="a3"/>
        <w:jc w:val="both"/>
        <w:rPr>
          <w:sz w:val="26"/>
          <w:szCs w:val="26"/>
        </w:rPr>
      </w:pPr>
      <w:r w:rsidRPr="008465ED">
        <w:rPr>
          <w:sz w:val="26"/>
          <w:szCs w:val="26"/>
        </w:rPr>
        <w:t>- з земельних питань фізичними особами подано – 1293 заяв;</w:t>
      </w:r>
    </w:p>
    <w:p w:rsidR="00D66750" w:rsidRPr="008465ED" w:rsidRDefault="00D66750" w:rsidP="00D66750">
      <w:pPr>
        <w:pStyle w:val="a3"/>
        <w:jc w:val="both"/>
        <w:rPr>
          <w:sz w:val="26"/>
          <w:szCs w:val="26"/>
        </w:rPr>
      </w:pPr>
      <w:r w:rsidRPr="008465ED">
        <w:rPr>
          <w:sz w:val="26"/>
          <w:szCs w:val="26"/>
        </w:rPr>
        <w:t>- з земельних питань юридичними особами та фізичними особами-підприємцями подано – 545 заяв.</w:t>
      </w:r>
    </w:p>
    <w:p w:rsidR="00D66750" w:rsidRPr="008465ED" w:rsidRDefault="00D66750" w:rsidP="00D66750">
      <w:pPr>
        <w:pStyle w:val="a3"/>
        <w:jc w:val="both"/>
        <w:rPr>
          <w:sz w:val="26"/>
          <w:szCs w:val="26"/>
        </w:rPr>
      </w:pPr>
      <w:r w:rsidRPr="008465ED">
        <w:rPr>
          <w:sz w:val="26"/>
          <w:szCs w:val="26"/>
        </w:rPr>
        <w:t xml:space="preserve">         Розмір надходжень до державного та місцевих бюджетів і державних цільових фондів, пов’язаних з дією </w:t>
      </w:r>
      <w:proofErr w:type="spellStart"/>
      <w:r w:rsidRPr="008465ED">
        <w:rPr>
          <w:sz w:val="26"/>
          <w:szCs w:val="26"/>
        </w:rPr>
        <w:t>акта</w:t>
      </w:r>
      <w:proofErr w:type="spellEnd"/>
      <w:r w:rsidRPr="008465ED">
        <w:rPr>
          <w:sz w:val="26"/>
          <w:szCs w:val="26"/>
        </w:rPr>
        <w:t>:</w:t>
      </w:r>
    </w:p>
    <w:p w:rsidR="00D66750" w:rsidRPr="008465ED" w:rsidRDefault="00D66750" w:rsidP="00D66750">
      <w:pPr>
        <w:pStyle w:val="a3"/>
        <w:numPr>
          <w:ilvl w:val="0"/>
          <w:numId w:val="1"/>
        </w:numPr>
        <w:jc w:val="both"/>
        <w:rPr>
          <w:sz w:val="26"/>
          <w:szCs w:val="26"/>
        </w:rPr>
      </w:pPr>
      <w:r w:rsidRPr="008465ED">
        <w:rPr>
          <w:sz w:val="26"/>
          <w:szCs w:val="26"/>
        </w:rPr>
        <w:t xml:space="preserve">за 2016рік плата за землю у розмірі - 254933,262 </w:t>
      </w:r>
      <w:proofErr w:type="spellStart"/>
      <w:r w:rsidRPr="008465ED">
        <w:rPr>
          <w:sz w:val="26"/>
          <w:szCs w:val="26"/>
        </w:rPr>
        <w:t>тис.грн</w:t>
      </w:r>
      <w:proofErr w:type="spellEnd"/>
      <w:r w:rsidRPr="008465ED">
        <w:rPr>
          <w:sz w:val="26"/>
          <w:szCs w:val="26"/>
        </w:rPr>
        <w:t>.</w:t>
      </w:r>
    </w:p>
    <w:p w:rsidR="00D66750" w:rsidRPr="008465ED" w:rsidRDefault="00D66750" w:rsidP="00D66750">
      <w:pPr>
        <w:pStyle w:val="a3"/>
        <w:numPr>
          <w:ilvl w:val="0"/>
          <w:numId w:val="1"/>
        </w:numPr>
        <w:jc w:val="both"/>
        <w:rPr>
          <w:sz w:val="26"/>
          <w:szCs w:val="26"/>
        </w:rPr>
      </w:pPr>
      <w:r w:rsidRPr="008465ED">
        <w:rPr>
          <w:sz w:val="26"/>
          <w:szCs w:val="26"/>
        </w:rPr>
        <w:t>станом на 01.05.2017р.плата за землю у розмірі – 91594,836 грн.</w:t>
      </w:r>
    </w:p>
    <w:p w:rsidR="00D66750" w:rsidRPr="008465ED" w:rsidRDefault="00D66750" w:rsidP="00D66750">
      <w:pPr>
        <w:pStyle w:val="a3"/>
        <w:jc w:val="both"/>
        <w:rPr>
          <w:sz w:val="26"/>
          <w:szCs w:val="26"/>
        </w:rPr>
      </w:pPr>
    </w:p>
    <w:p w:rsidR="00D66750" w:rsidRPr="008465ED" w:rsidRDefault="00D66750" w:rsidP="00D66750">
      <w:pPr>
        <w:pStyle w:val="a3"/>
        <w:jc w:val="both"/>
        <w:rPr>
          <w:sz w:val="26"/>
          <w:szCs w:val="26"/>
        </w:rPr>
      </w:pPr>
      <w:r w:rsidRPr="008465ED">
        <w:rPr>
          <w:sz w:val="26"/>
          <w:szCs w:val="26"/>
        </w:rPr>
        <w:t>Кількість зареєстрованих документів на право власності, тимчасового або постійного користування земельними ділянками:</w:t>
      </w:r>
    </w:p>
    <w:p w:rsidR="00D66750" w:rsidRPr="008465ED" w:rsidRDefault="00D66750" w:rsidP="00D66750">
      <w:pPr>
        <w:pStyle w:val="a3"/>
        <w:jc w:val="both"/>
        <w:rPr>
          <w:sz w:val="26"/>
          <w:szCs w:val="26"/>
          <w:u w:val="single"/>
        </w:rPr>
      </w:pPr>
      <w:r w:rsidRPr="008465ED">
        <w:rPr>
          <w:sz w:val="26"/>
          <w:szCs w:val="26"/>
          <w:u w:val="single"/>
        </w:rPr>
        <w:t xml:space="preserve">   За 2016 рік укладено:</w:t>
      </w:r>
    </w:p>
    <w:p w:rsidR="00D66750" w:rsidRPr="008465ED" w:rsidRDefault="00D66750" w:rsidP="00D66750">
      <w:pPr>
        <w:pStyle w:val="a3"/>
        <w:jc w:val="both"/>
        <w:rPr>
          <w:sz w:val="26"/>
          <w:szCs w:val="26"/>
        </w:rPr>
      </w:pPr>
      <w:r w:rsidRPr="008465ED">
        <w:rPr>
          <w:sz w:val="26"/>
          <w:szCs w:val="26"/>
        </w:rPr>
        <w:t>- 16 договорів купівлі продажу земельних ділянок площею 15859кв.м. на суму 1138167 грн.,</w:t>
      </w:r>
    </w:p>
    <w:p w:rsidR="00D66750" w:rsidRPr="008465ED" w:rsidRDefault="00D66750" w:rsidP="00D66750">
      <w:pPr>
        <w:pStyle w:val="a3"/>
        <w:jc w:val="both"/>
        <w:rPr>
          <w:sz w:val="26"/>
          <w:szCs w:val="26"/>
        </w:rPr>
      </w:pPr>
      <w:r w:rsidRPr="008465ED">
        <w:rPr>
          <w:sz w:val="26"/>
          <w:szCs w:val="26"/>
        </w:rPr>
        <w:t xml:space="preserve">- 439 договорів оренди землі, у </w:t>
      </w:r>
      <w:proofErr w:type="spellStart"/>
      <w:r w:rsidRPr="008465ED">
        <w:rPr>
          <w:sz w:val="26"/>
          <w:szCs w:val="26"/>
        </w:rPr>
        <w:t>т.ч</w:t>
      </w:r>
      <w:proofErr w:type="spellEnd"/>
      <w:r w:rsidRPr="008465ED">
        <w:rPr>
          <w:sz w:val="26"/>
          <w:szCs w:val="26"/>
        </w:rPr>
        <w:t>. продовження оренди та договорів особистого строкового сервітуту).</w:t>
      </w:r>
    </w:p>
    <w:p w:rsidR="00D66750" w:rsidRPr="008465ED" w:rsidRDefault="00D66750" w:rsidP="00D66750">
      <w:pPr>
        <w:pStyle w:val="a3"/>
        <w:jc w:val="both"/>
        <w:rPr>
          <w:sz w:val="26"/>
          <w:szCs w:val="26"/>
        </w:rPr>
      </w:pPr>
      <w:r w:rsidRPr="008465ED">
        <w:rPr>
          <w:sz w:val="26"/>
          <w:szCs w:val="26"/>
        </w:rPr>
        <w:t xml:space="preserve"> </w:t>
      </w:r>
      <w:r w:rsidRPr="008465ED">
        <w:rPr>
          <w:sz w:val="26"/>
          <w:szCs w:val="26"/>
          <w:u w:val="single"/>
        </w:rPr>
        <w:t xml:space="preserve">Станом на 01.05.2017 укладено: </w:t>
      </w:r>
      <w:r w:rsidRPr="008465ED">
        <w:rPr>
          <w:sz w:val="26"/>
          <w:szCs w:val="26"/>
        </w:rPr>
        <w:t xml:space="preserve">14 договорів оренди землі, площею 49751 </w:t>
      </w:r>
      <w:proofErr w:type="spellStart"/>
      <w:r w:rsidRPr="008465ED">
        <w:rPr>
          <w:sz w:val="26"/>
          <w:szCs w:val="26"/>
        </w:rPr>
        <w:t>кв.м</w:t>
      </w:r>
      <w:proofErr w:type="spellEnd"/>
      <w:r w:rsidRPr="008465ED">
        <w:rPr>
          <w:sz w:val="26"/>
          <w:szCs w:val="26"/>
        </w:rPr>
        <w:t>. на суму 3435,164 грн.</w:t>
      </w:r>
    </w:p>
    <w:p w:rsidR="00D66750" w:rsidRPr="008465ED" w:rsidRDefault="00D66750" w:rsidP="00D66750">
      <w:pPr>
        <w:pStyle w:val="a3"/>
        <w:jc w:val="both"/>
        <w:rPr>
          <w:sz w:val="26"/>
          <w:szCs w:val="26"/>
        </w:rPr>
      </w:pPr>
      <w:r w:rsidRPr="008465ED">
        <w:rPr>
          <w:sz w:val="26"/>
          <w:szCs w:val="26"/>
        </w:rPr>
        <w:t xml:space="preserve">         Рівень поінформованості суб’єктів господарювання та /або фізичних осіб з основних положень </w:t>
      </w:r>
      <w:proofErr w:type="spellStart"/>
      <w:r w:rsidRPr="008465ED">
        <w:rPr>
          <w:sz w:val="26"/>
          <w:szCs w:val="26"/>
        </w:rPr>
        <w:t>акта</w:t>
      </w:r>
      <w:proofErr w:type="spellEnd"/>
      <w:r w:rsidRPr="008465ED">
        <w:rPr>
          <w:sz w:val="26"/>
          <w:szCs w:val="26"/>
        </w:rPr>
        <w:t xml:space="preserve">: суб’єкти господарювання або фізичні особи інформуються при зверненні до відділу ЦНАП, на офіційному сайті виконкому Миколаївської міської </w:t>
      </w:r>
      <w:proofErr w:type="spellStart"/>
      <w:r w:rsidRPr="008465ED">
        <w:rPr>
          <w:sz w:val="26"/>
          <w:szCs w:val="26"/>
        </w:rPr>
        <w:t>ради,а</w:t>
      </w:r>
      <w:proofErr w:type="spellEnd"/>
      <w:r w:rsidRPr="008465ED">
        <w:rPr>
          <w:sz w:val="26"/>
          <w:szCs w:val="26"/>
        </w:rPr>
        <w:t xml:space="preserve"> також на інформаційних стендах у холі </w:t>
      </w:r>
      <w:proofErr w:type="spellStart"/>
      <w:r w:rsidRPr="008465ED">
        <w:rPr>
          <w:sz w:val="26"/>
          <w:szCs w:val="26"/>
        </w:rPr>
        <w:t>ДзНАП</w:t>
      </w:r>
      <w:proofErr w:type="spellEnd"/>
      <w:r w:rsidRPr="008465ED">
        <w:rPr>
          <w:sz w:val="26"/>
          <w:szCs w:val="26"/>
        </w:rPr>
        <w:t>.</w:t>
      </w:r>
    </w:p>
    <w:p w:rsidR="00D66750" w:rsidRPr="008465ED" w:rsidRDefault="00D66750" w:rsidP="00D66750">
      <w:pPr>
        <w:pStyle w:val="a3"/>
        <w:ind w:firstLine="708"/>
        <w:jc w:val="both"/>
        <w:rPr>
          <w:sz w:val="26"/>
          <w:szCs w:val="26"/>
        </w:rPr>
      </w:pPr>
      <w:r w:rsidRPr="008465ED">
        <w:rPr>
          <w:sz w:val="26"/>
          <w:szCs w:val="26"/>
        </w:rPr>
        <w:t xml:space="preserve">З метою забезпечення інформування через засоби масової інформації мешканців щодо надання адміністративних послуг через центр надання адміністративних послуг Миколаївської міської ради,  з метою підвищення комфорту та якості надання адміністративних послуг для юридичних та фізичних осіб, інформування населення про свою діяльність, ЦНАП співпрацює з місцевими громадськими організаціями, що сприяє підвищенню довіри до органів місцевого самоврядування в наданні </w:t>
      </w:r>
      <w:proofErr w:type="spellStart"/>
      <w:r w:rsidRPr="008465ED">
        <w:rPr>
          <w:sz w:val="26"/>
          <w:szCs w:val="26"/>
        </w:rPr>
        <w:t>адмінпослуг</w:t>
      </w:r>
      <w:proofErr w:type="spellEnd"/>
      <w:r w:rsidRPr="008465ED">
        <w:rPr>
          <w:sz w:val="26"/>
          <w:szCs w:val="26"/>
        </w:rPr>
        <w:t xml:space="preserve"> населенню.</w:t>
      </w:r>
    </w:p>
    <w:p w:rsidR="00D66750" w:rsidRPr="008465ED" w:rsidRDefault="00D66750" w:rsidP="00D66750">
      <w:pPr>
        <w:pStyle w:val="a3"/>
        <w:ind w:firstLine="708"/>
        <w:jc w:val="both"/>
        <w:rPr>
          <w:sz w:val="26"/>
          <w:szCs w:val="26"/>
        </w:rPr>
      </w:pPr>
      <w:r w:rsidRPr="008465ED">
        <w:rPr>
          <w:sz w:val="26"/>
          <w:szCs w:val="26"/>
        </w:rPr>
        <w:lastRenderedPageBreak/>
        <w:t>До кола партнерських громадських організацій входить Миколаївський благодійний фонд МЕТА «Від спільного бачення-до спільних дій», з яким ЦНАП співпрацює з 2014 року.</w:t>
      </w:r>
    </w:p>
    <w:p w:rsidR="00D66750" w:rsidRPr="008465ED" w:rsidRDefault="00D66750" w:rsidP="00D66750">
      <w:pPr>
        <w:pStyle w:val="a3"/>
        <w:ind w:firstLine="708"/>
        <w:jc w:val="both"/>
        <w:rPr>
          <w:sz w:val="26"/>
          <w:szCs w:val="26"/>
        </w:rPr>
      </w:pPr>
      <w:r w:rsidRPr="008465ED">
        <w:rPr>
          <w:sz w:val="26"/>
          <w:szCs w:val="26"/>
        </w:rPr>
        <w:t xml:space="preserve">Спільно з фондом МЕТА та Центральною міською бібліотекою ім. М.Л. Кропивницького м. Миколаєва з метою підвищення поінформованості жителів Миколаєва про наявні електронні послуги, в </w:t>
      </w:r>
      <w:proofErr w:type="spellStart"/>
      <w:r w:rsidRPr="008465ED">
        <w:rPr>
          <w:sz w:val="26"/>
          <w:szCs w:val="26"/>
        </w:rPr>
        <w:t>т.ч</w:t>
      </w:r>
      <w:proofErr w:type="spellEnd"/>
      <w:r w:rsidRPr="008465ED">
        <w:rPr>
          <w:sz w:val="26"/>
          <w:szCs w:val="26"/>
        </w:rPr>
        <w:t xml:space="preserve">. адміністративні, ЦНАП успішно реалізує проект «Миколаївцям популярно про адміністративні послуги». Проводиться спільна діяльність з підвищення поінформованості жителів міста про адміністративні послуги, а саме проведено інформаційно-просвітницьку кампанію, організовано </w:t>
      </w:r>
      <w:proofErr w:type="spellStart"/>
      <w:r w:rsidRPr="008465ED">
        <w:rPr>
          <w:sz w:val="26"/>
          <w:szCs w:val="26"/>
        </w:rPr>
        <w:t>скайп</w:t>
      </w:r>
      <w:proofErr w:type="spellEnd"/>
      <w:r w:rsidRPr="008465ED">
        <w:rPr>
          <w:sz w:val="26"/>
          <w:szCs w:val="26"/>
        </w:rPr>
        <w:t xml:space="preserve">-консультування населення адміністраторами ЦНАП на базі бібліотек ЦБС для дорослих </w:t>
      </w:r>
      <w:proofErr w:type="spellStart"/>
      <w:r w:rsidRPr="008465ED">
        <w:rPr>
          <w:sz w:val="26"/>
          <w:szCs w:val="26"/>
        </w:rPr>
        <w:t>м.Миколаєва</w:t>
      </w:r>
      <w:proofErr w:type="spellEnd"/>
      <w:r w:rsidRPr="008465ED">
        <w:rPr>
          <w:sz w:val="26"/>
          <w:szCs w:val="26"/>
        </w:rPr>
        <w:t xml:space="preserve"> щодо інформування населення про роботу ЦНАП та існуючу систему </w:t>
      </w:r>
      <w:proofErr w:type="spellStart"/>
      <w:r w:rsidRPr="008465ED">
        <w:rPr>
          <w:sz w:val="26"/>
          <w:szCs w:val="26"/>
        </w:rPr>
        <w:t>адмінпослуг</w:t>
      </w:r>
      <w:proofErr w:type="spellEnd"/>
      <w:r w:rsidRPr="008465ED">
        <w:rPr>
          <w:sz w:val="26"/>
          <w:szCs w:val="26"/>
        </w:rPr>
        <w:t>.</w:t>
      </w:r>
    </w:p>
    <w:p w:rsidR="00D66750" w:rsidRPr="008465ED" w:rsidRDefault="00D66750" w:rsidP="00D66750">
      <w:pPr>
        <w:pStyle w:val="a3"/>
        <w:jc w:val="both"/>
        <w:rPr>
          <w:sz w:val="26"/>
          <w:szCs w:val="26"/>
        </w:rPr>
      </w:pPr>
      <w:r w:rsidRPr="008465ED">
        <w:rPr>
          <w:sz w:val="26"/>
          <w:szCs w:val="26"/>
        </w:rPr>
        <w:t xml:space="preserve">         Аналізуючи фінансові результати ( за 2016р. та за 4 міс. 2017р.) слід зазначити, що  надходження до місцевого бюджету та кількість укладених договорів зменшилася тоді, як збільшилася чисельність суб’єктів господарювання та фізичних осіб, які звернулися до ЦНАП за адміністративними послугами щодо укладання договорів з земельних питань.</w:t>
      </w:r>
    </w:p>
    <w:p w:rsidR="00D66750" w:rsidRPr="008465ED" w:rsidRDefault="00D66750" w:rsidP="00D66750">
      <w:pPr>
        <w:pStyle w:val="a3"/>
        <w:jc w:val="both"/>
        <w:rPr>
          <w:sz w:val="26"/>
          <w:szCs w:val="26"/>
        </w:rPr>
      </w:pPr>
      <w:r w:rsidRPr="008465ED">
        <w:rPr>
          <w:sz w:val="26"/>
          <w:szCs w:val="26"/>
        </w:rPr>
        <w:t xml:space="preserve">9. Оцінка результатів реалізації регуляторного </w:t>
      </w:r>
      <w:proofErr w:type="spellStart"/>
      <w:r w:rsidRPr="008465ED">
        <w:rPr>
          <w:sz w:val="26"/>
          <w:szCs w:val="26"/>
        </w:rPr>
        <w:t>акта</w:t>
      </w:r>
      <w:proofErr w:type="spellEnd"/>
      <w:r w:rsidRPr="008465ED">
        <w:rPr>
          <w:sz w:val="26"/>
          <w:szCs w:val="26"/>
        </w:rPr>
        <w:t xml:space="preserve"> та ступеня досягнення визначених цілей.</w:t>
      </w:r>
    </w:p>
    <w:p w:rsidR="00D66750" w:rsidRPr="008465ED" w:rsidRDefault="00D66750" w:rsidP="00D66750">
      <w:pPr>
        <w:pStyle w:val="a3"/>
        <w:jc w:val="both"/>
        <w:rPr>
          <w:sz w:val="26"/>
          <w:szCs w:val="26"/>
        </w:rPr>
      </w:pPr>
      <w:r w:rsidRPr="008465ED">
        <w:rPr>
          <w:sz w:val="26"/>
          <w:szCs w:val="26"/>
        </w:rPr>
        <w:t xml:space="preserve">         В результаті проведеного відстеження результативності регуляторного </w:t>
      </w:r>
      <w:proofErr w:type="spellStart"/>
      <w:r w:rsidRPr="008465ED">
        <w:rPr>
          <w:sz w:val="26"/>
          <w:szCs w:val="26"/>
        </w:rPr>
        <w:t>акта</w:t>
      </w:r>
      <w:proofErr w:type="spellEnd"/>
      <w:r w:rsidRPr="008465ED">
        <w:rPr>
          <w:sz w:val="26"/>
          <w:szCs w:val="26"/>
        </w:rPr>
        <w:t xml:space="preserve"> доведено, що рішення виконкому Миколаївської міської ради від 23.03.12 № 211 «Про затвердження Порядку взаємодії державного адміністратора та місцевих дозвільних органів щодо розгляду заяв суб’єктів господарювання на отримання документа дозвільного характеру - рішення міської ради про передачу у власність, надання у постійне користувач та оренду (продовження терміну оренди) земельних ділянок, зі змінами та доповненнями, внесеними рішенням виконавчого комітету Миколаївської міської ради від 14.12.2012р №1409» надало змогу врегулювати питання щодо передачі у власність, надання у постійне користування та оренду (продовження терміну оренди) земельних ділянок у м. Миколаєві, покращити благоустрій міста. Під час проведення адміністративної реформи та передачі додаткових повноважень в органи місцевого самоврядування регуляторні акти минулих років потребують перегляду на відповідність вимогам сьогодення.</w:t>
      </w:r>
    </w:p>
    <w:p w:rsidR="00D66750" w:rsidRPr="008465ED" w:rsidRDefault="00D66750" w:rsidP="00D66750">
      <w:pPr>
        <w:pStyle w:val="a3"/>
        <w:jc w:val="both"/>
        <w:rPr>
          <w:sz w:val="26"/>
          <w:szCs w:val="26"/>
        </w:rPr>
      </w:pPr>
      <w:r w:rsidRPr="008465ED">
        <w:rPr>
          <w:sz w:val="26"/>
          <w:szCs w:val="26"/>
        </w:rPr>
        <w:t xml:space="preserve">        Регуляторний акт не має достатнього рівня досягнення визначених цілей, окремі його положення реалізуються неефективно,  потребує перегляду і внесення змін та доповнень відповідно до чинного законодавства</w:t>
      </w:r>
      <w:r>
        <w:rPr>
          <w:sz w:val="26"/>
          <w:szCs w:val="26"/>
        </w:rPr>
        <w:t xml:space="preserve"> за участю </w:t>
      </w:r>
      <w:r w:rsidRPr="008465ED">
        <w:rPr>
          <w:sz w:val="26"/>
          <w:szCs w:val="26"/>
        </w:rPr>
        <w:t xml:space="preserve">Управління містобудування та архітектури Миколаївської міської ради та Управління земельних ресурсів  Миколаївської міської ради. </w:t>
      </w: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D66750" w:rsidRDefault="00D66750" w:rsidP="00D66750">
      <w:pPr>
        <w:spacing w:after="0"/>
        <w:ind w:right="1134"/>
        <w:rPr>
          <w:rFonts w:ascii="Times New Roman" w:hAnsi="Times New Roman" w:cs="Times New Roman"/>
          <w:sz w:val="28"/>
          <w:szCs w:val="28"/>
          <w:lang w:val="uk-UA"/>
        </w:rPr>
      </w:pPr>
    </w:p>
    <w:p w:rsidR="004D76CC" w:rsidRPr="00D66750" w:rsidRDefault="004D76CC" w:rsidP="00D66750">
      <w:pPr>
        <w:ind w:left="-142"/>
        <w:rPr>
          <w:lang w:val="uk-UA"/>
        </w:rPr>
      </w:pPr>
      <w:bookmarkStart w:id="0" w:name="_GoBack"/>
      <w:bookmarkEnd w:id="0"/>
    </w:p>
    <w:sectPr w:rsidR="004D76CC" w:rsidRPr="00D66750" w:rsidSect="00D6675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623B1"/>
    <w:multiLevelType w:val="hybridMultilevel"/>
    <w:tmpl w:val="B25637B8"/>
    <w:lvl w:ilvl="0" w:tplc="A27CD8B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50"/>
    <w:rsid w:val="002447CF"/>
    <w:rsid w:val="004D76CC"/>
    <w:rsid w:val="00D6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750"/>
    <w:pPr>
      <w:suppressAutoHyphens/>
      <w:spacing w:after="0" w:line="240" w:lineRule="auto"/>
    </w:pPr>
    <w:rPr>
      <w:rFonts w:ascii="Times New Roman" w:eastAsia="Times New Roman" w:hAnsi="Times New Roman" w:cs="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6750"/>
    <w:pPr>
      <w:suppressAutoHyphens/>
      <w:spacing w:after="0" w:line="240" w:lineRule="auto"/>
    </w:pPr>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23</cp:lastModifiedBy>
  <cp:revision>1</cp:revision>
  <dcterms:created xsi:type="dcterms:W3CDTF">2017-06-12T08:03:00Z</dcterms:created>
  <dcterms:modified xsi:type="dcterms:W3CDTF">2017-06-12T08:04:00Z</dcterms:modified>
</cp:coreProperties>
</file>