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C6" w:rsidRDefault="00D028C6" w:rsidP="00D028C6">
      <w:pPr>
        <w:pStyle w:val="a3"/>
        <w:jc w:val="center"/>
        <w:rPr>
          <w:rFonts w:ascii="Verdana" w:hAnsi="Verdana"/>
          <w:color w:val="000000"/>
          <w:sz w:val="15"/>
          <w:szCs w:val="15"/>
        </w:rPr>
      </w:pPr>
      <w:r>
        <w:rPr>
          <w:rStyle w:val="a4"/>
          <w:rFonts w:ascii="Verdana" w:hAnsi="Verdana"/>
          <w:color w:val="000000"/>
          <w:sz w:val="28"/>
          <w:szCs w:val="28"/>
        </w:rPr>
        <w:t>Орієнтовний план роботи експертно-громадської ради виконавчого комітету Миколаївської міської ради у 2018 році</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31 січня 2018 року експертно-громадська рада виконавчого комітету Миколаївської міської ради (ЕГР) на своєму засіданні, спираючись на пропозиції членів ЕГР, затвердила орієнтовний план роботи на перше півріччя 2018 року, сформувавши теми засідань ради та ін. заходів у такий редакції:</w:t>
      </w:r>
    </w:p>
    <w:p w:rsidR="00D028C6" w:rsidRDefault="00D028C6" w:rsidP="00D028C6">
      <w:pPr>
        <w:pStyle w:val="a3"/>
        <w:jc w:val="both"/>
        <w:rPr>
          <w:rFonts w:ascii="Verdana" w:hAnsi="Verdana"/>
          <w:color w:val="000000"/>
          <w:sz w:val="15"/>
          <w:szCs w:val="15"/>
        </w:rPr>
      </w:pPr>
      <w:r>
        <w:rPr>
          <w:rStyle w:val="a4"/>
          <w:rFonts w:ascii="Verdana" w:hAnsi="Verdana"/>
          <w:color w:val="000000"/>
          <w:sz w:val="15"/>
          <w:szCs w:val="15"/>
        </w:rPr>
        <w:t>Лютий 2018 року:</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1) Формування робочої групи з питання опрацювання нового проекту Стратегії розвитку м. Миколаєва.</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2) Співробітництво з ІТ-кластером м. Миколаєва у напрямку розвитку ІТ-галузі міста як однієї з найбільш перспективних.</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3) Підготовка та проведення «круглого столу» з питань нормативної грошової оцінки землі у м. Миколаєві.</w:t>
      </w:r>
    </w:p>
    <w:p w:rsidR="00D028C6" w:rsidRDefault="00D028C6" w:rsidP="00D028C6">
      <w:pPr>
        <w:pStyle w:val="a3"/>
        <w:jc w:val="both"/>
        <w:rPr>
          <w:rFonts w:ascii="Verdana" w:hAnsi="Verdana"/>
          <w:color w:val="000000"/>
          <w:sz w:val="15"/>
          <w:szCs w:val="15"/>
        </w:rPr>
      </w:pPr>
      <w:r>
        <w:rPr>
          <w:rStyle w:val="a4"/>
          <w:rFonts w:ascii="Verdana" w:hAnsi="Verdana"/>
          <w:color w:val="000000"/>
          <w:sz w:val="15"/>
          <w:szCs w:val="15"/>
        </w:rPr>
        <w:t>Березень 2018 року:</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1) Створення умов для безпечного пересування пішоходів у м. Миколаєві, відновлення тротуарів, встановлення «розумних зупинок» тощо.</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2) Підготовка та проведення спільного заходу у форматі «круглого столу» з представниками громадської ради з питань туризму у м. Миколаєві  при департаменті економічного розвитку  Миколаївської міської ради.</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3) Організація та проведення «круглого столу» з питань ефективності виконання Програми соціально-економічного розвитку міста Миколаєва у 2017 році та міських цільових програм.</w:t>
      </w:r>
    </w:p>
    <w:p w:rsidR="00D028C6" w:rsidRDefault="00D028C6" w:rsidP="00D028C6">
      <w:pPr>
        <w:pStyle w:val="a3"/>
        <w:jc w:val="both"/>
        <w:rPr>
          <w:rFonts w:ascii="Verdana" w:hAnsi="Verdana"/>
          <w:color w:val="000000"/>
          <w:sz w:val="15"/>
          <w:szCs w:val="15"/>
        </w:rPr>
      </w:pPr>
      <w:r>
        <w:rPr>
          <w:rStyle w:val="a4"/>
          <w:rFonts w:ascii="Verdana" w:hAnsi="Verdana"/>
          <w:color w:val="000000"/>
          <w:sz w:val="15"/>
          <w:szCs w:val="15"/>
        </w:rPr>
        <w:t>Квітень 2018 року:</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1) Моніторинг ефективності виконання бюджетних та цільових програм, експертний супровід напрацювань щодо системи контролю бюджетних та цільових програм, рекомендованих ЕГР органам місцевого самоврядування.</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2) Підготовка та проведення «круглого столу» щодо доцільності організації експедиції з вивчення правового та природоохоронного стану берегів річок та лиману в межах м. Миколаєва.</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3) Обговорення проектів, поданих на конкурсний відбір в межах Громадського бюджету м. Миколаєва на 2018 рік, аналіз підсумків конкурсного відбору.</w:t>
      </w:r>
    </w:p>
    <w:p w:rsidR="00D028C6" w:rsidRDefault="00D028C6" w:rsidP="00D028C6">
      <w:pPr>
        <w:pStyle w:val="a3"/>
        <w:jc w:val="both"/>
        <w:rPr>
          <w:rFonts w:ascii="Verdana" w:hAnsi="Verdana"/>
          <w:color w:val="000000"/>
          <w:sz w:val="15"/>
          <w:szCs w:val="15"/>
        </w:rPr>
      </w:pPr>
      <w:r>
        <w:rPr>
          <w:rStyle w:val="a4"/>
          <w:rFonts w:ascii="Verdana" w:hAnsi="Verdana"/>
          <w:color w:val="000000"/>
          <w:sz w:val="15"/>
          <w:szCs w:val="15"/>
        </w:rPr>
        <w:t>Травень 2018 року:</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1) Розробка концепції та плану впровадження Електронного муніципального управління, можливість відновлення програми «Електронне місто».</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2) Забезпечення доступу до публічної інформації в органах місцевого самоврядування м. Миколаєва.</w:t>
      </w:r>
    </w:p>
    <w:p w:rsidR="00D028C6" w:rsidRDefault="00D028C6" w:rsidP="00D028C6">
      <w:pPr>
        <w:pStyle w:val="a3"/>
        <w:jc w:val="both"/>
        <w:rPr>
          <w:rFonts w:ascii="Verdana" w:hAnsi="Verdana"/>
          <w:color w:val="000000"/>
          <w:sz w:val="15"/>
          <w:szCs w:val="15"/>
        </w:rPr>
      </w:pPr>
      <w:r>
        <w:rPr>
          <w:rFonts w:ascii="Verdana" w:hAnsi="Verdana"/>
          <w:color w:val="000000"/>
          <w:sz w:val="15"/>
          <w:szCs w:val="15"/>
        </w:rPr>
        <w:t>Також, відповідно до пропозицій, що надійшли від членів ЕГР, </w:t>
      </w:r>
      <w:r>
        <w:rPr>
          <w:rStyle w:val="a4"/>
          <w:rFonts w:ascii="Verdana" w:hAnsi="Verdana"/>
          <w:color w:val="000000"/>
          <w:sz w:val="15"/>
          <w:szCs w:val="15"/>
        </w:rPr>
        <w:t>у листопаді 2018 року</w:t>
      </w:r>
      <w:r>
        <w:rPr>
          <w:rFonts w:ascii="Verdana" w:hAnsi="Verdana"/>
          <w:color w:val="000000"/>
          <w:sz w:val="15"/>
          <w:szCs w:val="15"/>
        </w:rPr>
        <w:t> планується проведення «круглого столу» з питань неформальної освіти дорослих та підбиття підсумків реалізації проекту «Рік неформальної освіти дорослих у м. Миколаєві».</w:t>
      </w:r>
    </w:p>
    <w:p w:rsidR="008D7680" w:rsidRDefault="008D7680">
      <w:bookmarkStart w:id="0" w:name="_GoBack"/>
      <w:bookmarkEnd w:id="0"/>
    </w:p>
    <w:sectPr w:rsidR="008D7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E9"/>
    <w:rsid w:val="008D7680"/>
    <w:rsid w:val="009013E9"/>
    <w:rsid w:val="00D028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8C6"/>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D028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8C6"/>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D02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3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user249d</dc:creator>
  <cp:keywords/>
  <dc:description/>
  <cp:lastModifiedBy>user249d</cp:lastModifiedBy>
  <cp:revision>2</cp:revision>
  <dcterms:created xsi:type="dcterms:W3CDTF">2021-09-08T11:33:00Z</dcterms:created>
  <dcterms:modified xsi:type="dcterms:W3CDTF">2021-09-08T11:34:00Z</dcterms:modified>
</cp:coreProperties>
</file>