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5BF5" w14:textId="77764114" w:rsidR="0083279D" w:rsidRDefault="00D6208C" w:rsidP="00F176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</w:rPr>
        <w:t>Відкриті торги з особливостями</w:t>
      </w:r>
    </w:p>
    <w:p w14:paraId="05B514B7" w14:textId="7BD6486A" w:rsidR="007700B7" w:rsidRPr="007700B7" w:rsidRDefault="007700B7" w:rsidP="008327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7700B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Предмет закупівлі: </w:t>
      </w:r>
      <w:r w:rsidR="00D6208C" w:rsidRPr="00D6208C">
        <w:rPr>
          <w:rFonts w:ascii="Times New Roman" w:hAnsi="Times New Roman" w:cs="Times New Roman"/>
          <w:sz w:val="24"/>
          <w:szCs w:val="24"/>
        </w:rPr>
        <w:t>Здійснення заходів зі створення муніципального дата-центру згідно ДК 021:2015 – 34220000-5 Причепи, напівпричепи та пересувні контейнери (Пересувний контейнер спеціального призначення з подальшим монтажем)</w:t>
      </w:r>
      <w:r w:rsidRPr="007700B7">
        <w:rPr>
          <w:rFonts w:ascii="Times New Roman" w:hAnsi="Times New Roman" w:cs="Times New Roman"/>
          <w:sz w:val="24"/>
          <w:szCs w:val="24"/>
        </w:rPr>
        <w:t>.</w:t>
      </w:r>
    </w:p>
    <w:p w14:paraId="3D0A55F2" w14:textId="14C4D38D" w:rsidR="007700B7" w:rsidRPr="00ED12F1" w:rsidRDefault="007700B7" w:rsidP="00ED12F1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>Обґрунтування закупівлі</w:t>
      </w:r>
      <w:r w:rsidR="00ED12F1"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>.</w:t>
      </w:r>
    </w:p>
    <w:p w14:paraId="63514299" w14:textId="77777777" w:rsidR="00ED12F1" w:rsidRDefault="00D6208C" w:rsidP="00ED12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2F1">
        <w:rPr>
          <w:rFonts w:ascii="Times New Roman" w:hAnsi="Times New Roman" w:cs="Times New Roman"/>
          <w:color w:val="000000"/>
          <w:sz w:val="24"/>
          <w:szCs w:val="24"/>
        </w:rPr>
        <w:t xml:space="preserve">Розрахунок потреби планування закупівлі розроблено на підставі виконання рішення Миколаївської міської ради №15/8 від 22 листопада 2022 р. «Про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роки» (із змінами та доповненнями)». </w:t>
      </w:r>
    </w:p>
    <w:p w14:paraId="29AC8E5B" w14:textId="45337D0D" w:rsidR="00D6208C" w:rsidRPr="00ED12F1" w:rsidRDefault="00D6208C" w:rsidP="00ED12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2F1">
        <w:rPr>
          <w:rFonts w:ascii="Times New Roman" w:hAnsi="Times New Roman" w:cs="Times New Roman"/>
          <w:color w:val="000000"/>
          <w:sz w:val="24"/>
          <w:szCs w:val="24"/>
        </w:rPr>
        <w:t>З метою реалізації заходів передбачених п. 1.9 міської комплексної Програми «Інформатизація та розвиток електронного урядування» на 2020-2025 роки», а саме: «Створення муніципального дата-центру».</w:t>
      </w:r>
    </w:p>
    <w:p w14:paraId="108DCFC2" w14:textId="77777777" w:rsidR="00D6208C" w:rsidRPr="00ED12F1" w:rsidRDefault="007700B7" w:rsidP="00ED12F1">
      <w:pPr>
        <w:pStyle w:val="a4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 xml:space="preserve">Обґрунтування технічних та якісних характеристик закупівлі. </w:t>
      </w:r>
    </w:p>
    <w:p w14:paraId="1FA1D444" w14:textId="2466A327" w:rsidR="00D6208C" w:rsidRPr="00ED12F1" w:rsidRDefault="00D6208C" w:rsidP="00ED1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</w:rPr>
        <w:t>З метою вибору оптимального технічного рішення для створення муніципального дата-центру проведено аналіз вимог з облаштування дата-центрів та можливість їх виконання у наявному приміщенні серверного вузла Миколаївської міської ради.</w:t>
      </w:r>
    </w:p>
    <w:p w14:paraId="1E590301" w14:textId="77777777" w:rsidR="00D6208C" w:rsidRPr="00D6208C" w:rsidRDefault="00D6208C" w:rsidP="00ED12F1">
      <w:pPr>
        <w:pStyle w:val="a4"/>
        <w:spacing w:line="240" w:lineRule="auto"/>
        <w:ind w:left="360" w:firstLine="207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Вимоги для приміщення дата-центру:</w:t>
      </w:r>
    </w:p>
    <w:p w14:paraId="57D51015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приміщення слід розміщувати якомога ближче до магістральних кабельних каналів. Або ж проектувати майбутню кабельну інфраструктуру відповідним чином;</w:t>
      </w:r>
    </w:p>
    <w:p w14:paraId="23D6E3DA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приміщення повинно бути поруч з головним розподільчим пунктом, а якщо є можливість, то слід організувати головний розподільний пункт безпосередньо в самому приміщенні дата-центру;</w:t>
      </w:r>
    </w:p>
    <w:p w14:paraId="05EFDD18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слід уникати близького розміщення потужних джерел електричних і магнітних полів, а також обладнання, яке може викликати підвищену вібрацію, вібрація негативно впливає на роботу активного обладнання, контакти і з'єднання. У діапазоні частот до 25 Гц амплітуда коливань не повинна перевищувати 0.1 мм;</w:t>
      </w:r>
    </w:p>
    <w:p w14:paraId="5E018C5A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через приміщення дата-центру не повинні прокладатися транзитом трубопроводи інженерних систем будівлі;</w:t>
      </w:r>
    </w:p>
    <w:p w14:paraId="7C724018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забороняється розташовувати приміщення дата-центру поряд з приміщеннями для зберігання пожежонебезпечних або агресивних хімічних матеріалів;</w:t>
      </w:r>
    </w:p>
    <w:p w14:paraId="4611CC09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забороняється розташовувати дата-центр в приміщенні, суміжному з приміщенням виробництв з мокрими технологічними процесами;</w:t>
      </w:r>
    </w:p>
    <w:p w14:paraId="33CD3DBA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не рекомендовано виділяти приміщення для апаратної на верхніх поверхах будівлі, оскільки вони найбільш схильні до пошкоджень у разі пожежі і можуть заливатися при пошкодженнях даху;</w:t>
      </w:r>
    </w:p>
    <w:p w14:paraId="63C5D4D8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не рекомендовано розміщувати приміщення дата-центру поруч з сходовими прольотами, ліфтовими шахтами, великими вентиляційними каналами та іншими елементами будівлі;</w:t>
      </w:r>
    </w:p>
    <w:p w14:paraId="37835F3A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не допускається розміщення дата-центру під приміщеннями, пов'язаними зі споживанням води: туалети, душові, їдальні, буфети тощо;</w:t>
      </w:r>
    </w:p>
    <w:p w14:paraId="45E8F81B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підлога приміщення дата-центру повинена бути рівна і мати антистатичне покриття з опором, що забезпечує стікання і відведення статичної електрики. Настил підлоги здійснюється на протипожежну підставу. Покриття повинне дозволяти виконувати очищення і вологе прибирання;</w:t>
      </w:r>
    </w:p>
    <w:p w14:paraId="1582FAF4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для розміщення не менше ніж 3х технологічних шаф приміщення має забезпечити підтримку для статичного навантаження не менш ніж 3600 кг, без врахування іншого технологічного обладнання; </w:t>
      </w:r>
    </w:p>
    <w:p w14:paraId="5CE21FA1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під розміщення дата-центру рекомендовано використовувати приміщення без вікон. У разі якщо в приміщені обраному для розміщення дата-центру наявні вікна, то необхідно закласти вікна цеглою;</w:t>
      </w:r>
    </w:p>
    <w:p w14:paraId="69E45E25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lastRenderedPageBreak/>
        <w:t>система кондиціонування має бути розроблена у відповідності до вимог ДБН В.2.5-67:2013 «Опалення, вентиляція та кондиціонування»;</w:t>
      </w:r>
    </w:p>
    <w:p w14:paraId="78FC988A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у приміщення дата-центру необхідно передбачити промислові прецизійні кондиціонери;</w:t>
      </w:r>
    </w:p>
    <w:p w14:paraId="0D74E3F1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система кондиціонування повинна працювати в автономному автоматичному режимі цілодобово та цілорічно та забезпечувати в приміщенні температуру повітря в діапазоні від +18°С до +24°С;</w:t>
      </w:r>
    </w:p>
    <w:p w14:paraId="58594720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система та обладнання автоматичної системи газового пожежогасіння та система пожежної сигналізації повинні відповідати вимогам ДБН В.2.5-56:2010 «Пожежна автоматика будинків і споруд»;</w:t>
      </w:r>
    </w:p>
    <w:p w14:paraId="61AD5A0C" w14:textId="32A5CAB0" w:rsidR="00ED12F1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у приміщенні дата-центру повинна бути встановлена магістральна телекомунікаційна заземлювальна шина, до якої повинні бути підключені заземлюючі і сполучні провідники від монтажних конструктивів, телекомунікаційного обладнання, металевих кабелепроводів.</w:t>
      </w:r>
    </w:p>
    <w:p w14:paraId="53074EAE" w14:textId="50F853A2" w:rsidR="00D6208C" w:rsidRPr="00ED12F1" w:rsidRDefault="00D6208C" w:rsidP="00ED12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Детально вивчивши наявну технічну документацію на будівлю Миколаївської міської ради можна дійти висновку, що наявне приміщення серверного вузла категорично (по кільком параметрам) заборонено для розміщення дата-центру. </w:t>
      </w:r>
    </w:p>
    <w:p w14:paraId="5A625961" w14:textId="77777777" w:rsidR="00D6208C" w:rsidRPr="00ED12F1" w:rsidRDefault="00D6208C" w:rsidP="00ED1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</w:rPr>
        <w:t>Окрім того жодне приміщення в будівлі не може бути використано для розміщення дата-центру без реконструкції інженерних систем та внесення змін в будівельні конструкції, що неможливо з огляду наявності статусу пам’ятки архітектури місцевого значення відповідно до розпорядження голови Миколаївської облдержадміністрації від 20.03.1997 №155-р.</w:t>
      </w:r>
    </w:p>
    <w:p w14:paraId="0A0BB4DC" w14:textId="77777777" w:rsidR="00D6208C" w:rsidRPr="00ED12F1" w:rsidRDefault="00D6208C" w:rsidP="00ED1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</w:rPr>
        <w:t>Окремо слід розглядати вимоги продиктовані нападом російських окупаційних військ та можливою необхідністю евакуації дата-центру з місця його постійного розміщення. Такі дії значно ускладненні у разі використання «стаціонарного» приміщення та потребують створення декількох ідентичних приміщень для можливості «міграції»  дата-центру.</w:t>
      </w:r>
    </w:p>
    <w:p w14:paraId="7E260E7F" w14:textId="77777777" w:rsidR="00D6208C" w:rsidRPr="00D6208C" w:rsidRDefault="00D6208C" w:rsidP="00ED12F1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Вимоги для придбання мобільного дата-центру на базі пересувного контейнера спеціального призначення розроблені на підставі:</w:t>
      </w:r>
    </w:p>
    <w:p w14:paraId="15070F48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TIA/EIA-569. Commercial Building Standard for Telecommunication Pathways and Spaces;</w:t>
      </w:r>
    </w:p>
    <w:p w14:paraId="4AE1FB6C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ANSI/NECA/BICSI 568-2001. Installing Commercial Building Telecommunication Cabling;</w:t>
      </w:r>
    </w:p>
    <w:p w14:paraId="5A7735E6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ANSI/TIA/EIA-607. Commercial Building Grounding and Bonding Requirements for Telecommunications;</w:t>
      </w:r>
    </w:p>
    <w:p w14:paraId="2A5BA654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ДБН А.2.2-3:2014, ДБН В.2.5-23:2010, ДБН В.2.5-67:2013, ДБН В.2.5-56:2010, ДСТУ-Н Б В1.2-16:2013;</w:t>
      </w:r>
    </w:p>
    <w:p w14:paraId="19089BF7" w14:textId="77777777" w:rsidR="00D6208C" w:rsidRPr="00D6208C" w:rsidRDefault="00D6208C" w:rsidP="00ED12F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>рекомендацій міжнародних нормативних документів таких, як Topology від Uptime Institute, та інших, у випадку, якщо їх вимоги не суперечать нормативним документам України;</w:t>
      </w:r>
    </w:p>
    <w:p w14:paraId="7A541616" w14:textId="77777777" w:rsidR="00D6208C" w:rsidRPr="00D6208C" w:rsidRDefault="00D6208C" w:rsidP="006712E1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D6208C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прогнозу розвитку інформаційного оснащення дата-центру на 5 років. </w:t>
      </w:r>
    </w:p>
    <w:p w14:paraId="3E613759" w14:textId="77777777" w:rsidR="00ED12F1" w:rsidRPr="00ED12F1" w:rsidRDefault="007700B7" w:rsidP="00ED12F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 xml:space="preserve">Обґрунтування очікуваної </w:t>
      </w:r>
      <w:r w:rsidR="00D6208C"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>вартості предмета закупівлі</w:t>
      </w: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  <w:u w:val="single"/>
        </w:rPr>
        <w:t xml:space="preserve">. </w:t>
      </w:r>
    </w:p>
    <w:p w14:paraId="355F7767" w14:textId="2B10E54C" w:rsidR="00D6208C" w:rsidRPr="00ED12F1" w:rsidRDefault="00D6208C" w:rsidP="00ED12F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ED12F1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Очікувана вартість предмету закупівель визначенна на підставі цінових пропозицій </w:t>
      </w:r>
      <w:r w:rsidRPr="007C14B8">
        <w:rPr>
          <w:rFonts w:ascii="Times New Roman" w:eastAsia="Times New Roman" w:hAnsi="Times New Roman" w:cs="Times New Roman"/>
          <w:color w:val="0E1D2F"/>
          <w:sz w:val="24"/>
          <w:szCs w:val="24"/>
        </w:rPr>
        <w:t>та виділених бюджетних асигнувань.</w:t>
      </w:r>
    </w:p>
    <w:p w14:paraId="74F00D97" w14:textId="2A7482C3" w:rsidR="007700B7" w:rsidRPr="00D6208C" w:rsidRDefault="007700B7" w:rsidP="00D6208C">
      <w:pPr>
        <w:pStyle w:val="a4"/>
        <w:tabs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700B7" w:rsidRPr="00D6208C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93"/>
    <w:multiLevelType w:val="hybridMultilevel"/>
    <w:tmpl w:val="495C9BEE"/>
    <w:lvl w:ilvl="0" w:tplc="4760A7D0">
      <w:numFmt w:val="bullet"/>
      <w:lvlText w:val="-"/>
      <w:lvlJc w:val="left"/>
      <w:pPr>
        <w:ind w:left="125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638C494F"/>
    <w:multiLevelType w:val="multilevel"/>
    <w:tmpl w:val="4CFCCC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F0CD7"/>
    <w:rsid w:val="00137408"/>
    <w:rsid w:val="006712E1"/>
    <w:rsid w:val="007700B7"/>
    <w:rsid w:val="007C14B8"/>
    <w:rsid w:val="0083279D"/>
    <w:rsid w:val="00D6208C"/>
    <w:rsid w:val="00ED12F1"/>
    <w:rsid w:val="00F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Ганчарюк</cp:lastModifiedBy>
  <cp:revision>4</cp:revision>
  <dcterms:created xsi:type="dcterms:W3CDTF">2023-08-17T07:19:00Z</dcterms:created>
  <dcterms:modified xsi:type="dcterms:W3CDTF">2023-08-21T07:34:00Z</dcterms:modified>
</cp:coreProperties>
</file>